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A69B" w14:textId="77777777" w:rsidR="00A52510" w:rsidRPr="00A52510" w:rsidRDefault="00A52510" w:rsidP="00A52510">
      <w:pPr>
        <w:spacing w:after="0" w:line="240" w:lineRule="auto"/>
        <w:jc w:val="right"/>
        <w:rPr>
          <w:rFonts w:asciiTheme="minorHAnsi" w:hAnsiTheme="minorHAnsi"/>
          <w:b/>
          <w:bCs/>
          <w:color w:val="4F6228" w:themeColor="accent3" w:themeShade="80"/>
          <w:sz w:val="28"/>
          <w:szCs w:val="32"/>
          <w:lang w:val="sl-SI"/>
        </w:rPr>
      </w:pPr>
      <w:r w:rsidRPr="00A52510">
        <w:rPr>
          <w:rFonts w:asciiTheme="minorHAnsi" w:hAnsiTheme="minorHAnsi"/>
          <w:b/>
          <w:bCs/>
          <w:noProof/>
          <w:color w:val="4F6228" w:themeColor="accent3" w:themeShade="80"/>
          <w:sz w:val="28"/>
          <w:szCs w:val="32"/>
          <w:lang w:val="sl-SI"/>
        </w:rPr>
        <w:drawing>
          <wp:anchor distT="0" distB="0" distL="114300" distR="114300" simplePos="0" relativeHeight="251658240" behindDoc="1" locked="0" layoutInCell="1" allowOverlap="1" wp14:anchorId="2AA1F3AC" wp14:editId="4DCAA3E5">
            <wp:simplePos x="0" y="0"/>
            <wp:positionH relativeFrom="column">
              <wp:posOffset>4149725</wp:posOffset>
            </wp:positionH>
            <wp:positionV relativeFrom="paragraph">
              <wp:posOffset>153035</wp:posOffset>
            </wp:positionV>
            <wp:extent cx="1497965" cy="2110105"/>
            <wp:effectExtent l="152400" t="152400" r="368935" b="366395"/>
            <wp:wrapTight wrapText="bothSides">
              <wp:wrapPolygon edited="0">
                <wp:start x="1099" y="-1560"/>
                <wp:lineTo x="-2198" y="-1170"/>
                <wp:lineTo x="-2198" y="22426"/>
                <wp:lineTo x="-824" y="23791"/>
                <wp:lineTo x="2472" y="24766"/>
                <wp:lineTo x="2747" y="25156"/>
                <wp:lineTo x="21701" y="25156"/>
                <wp:lineTo x="21975" y="24766"/>
                <wp:lineTo x="25272" y="23791"/>
                <wp:lineTo x="26645" y="20865"/>
                <wp:lineTo x="26645" y="1950"/>
                <wp:lineTo x="23349" y="-975"/>
                <wp:lineTo x="23074" y="-1560"/>
                <wp:lineTo x="1099" y="-1560"/>
              </wp:wrapPolygon>
            </wp:wrapTight>
            <wp:docPr id="160473260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7965" cy="21101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2A2D2E66" w14:textId="77777777" w:rsidR="00A52510" w:rsidRPr="00A52510" w:rsidRDefault="00A52510" w:rsidP="00A52510">
      <w:pPr>
        <w:spacing w:after="0" w:line="240" w:lineRule="auto"/>
        <w:rPr>
          <w:rFonts w:asciiTheme="minorHAnsi" w:hAnsiTheme="minorHAnsi"/>
          <w:b/>
          <w:bCs/>
          <w:color w:val="5F497A" w:themeColor="accent4" w:themeShade="BF"/>
          <w:sz w:val="28"/>
          <w:szCs w:val="32"/>
          <w:lang w:val="sl-SI"/>
        </w:rPr>
      </w:pPr>
    </w:p>
    <w:p w14:paraId="69E8B19F" w14:textId="77777777" w:rsidR="00A52510" w:rsidRPr="00A52510" w:rsidRDefault="00A52510" w:rsidP="00A52510">
      <w:pPr>
        <w:spacing w:after="0" w:line="240" w:lineRule="auto"/>
        <w:rPr>
          <w:rFonts w:asciiTheme="minorHAnsi" w:hAnsiTheme="minorHAnsi"/>
          <w:b/>
          <w:bCs/>
          <w:color w:val="5F497A" w:themeColor="accent4" w:themeShade="BF"/>
          <w:sz w:val="28"/>
          <w:szCs w:val="32"/>
          <w:lang w:val="sl-SI"/>
        </w:rPr>
      </w:pPr>
    </w:p>
    <w:p w14:paraId="6FA93C62" w14:textId="77777777" w:rsidR="00A52510" w:rsidRPr="00A52510" w:rsidRDefault="00A52510" w:rsidP="00A52510">
      <w:pPr>
        <w:spacing w:after="0" w:line="240" w:lineRule="auto"/>
        <w:rPr>
          <w:rFonts w:asciiTheme="minorHAnsi" w:hAnsiTheme="minorHAnsi"/>
          <w:b/>
          <w:bCs/>
          <w:color w:val="5F497A" w:themeColor="accent4" w:themeShade="BF"/>
          <w:sz w:val="28"/>
          <w:szCs w:val="32"/>
          <w:lang w:val="sl-SI"/>
        </w:rPr>
      </w:pPr>
    </w:p>
    <w:p w14:paraId="15FC339B" w14:textId="1EF31CEC" w:rsidR="00EB5DEF" w:rsidRPr="00A52510" w:rsidRDefault="00EB5DEF" w:rsidP="00A52510">
      <w:pPr>
        <w:spacing w:after="0" w:line="240" w:lineRule="auto"/>
        <w:rPr>
          <w:rFonts w:asciiTheme="minorHAnsi" w:hAnsiTheme="minorHAnsi"/>
          <w:b/>
          <w:bCs/>
          <w:color w:val="4F6228" w:themeColor="accent3" w:themeShade="80"/>
          <w:sz w:val="28"/>
          <w:szCs w:val="32"/>
          <w:lang w:val="sl-SI"/>
        </w:rPr>
      </w:pPr>
      <w:r w:rsidRPr="00A86DA6">
        <w:rPr>
          <w:rFonts w:asciiTheme="minorHAnsi" w:hAnsiTheme="minorHAnsi"/>
          <w:b/>
          <w:bCs/>
          <w:color w:val="203D30"/>
          <w:sz w:val="28"/>
          <w:szCs w:val="32"/>
          <w:lang w:val="sl-SI"/>
        </w:rPr>
        <w:t>SPOROČILO ZA JAVNOST</w:t>
      </w:r>
      <w:r w:rsidR="00601823" w:rsidRPr="00A52510">
        <w:rPr>
          <w:rFonts w:asciiTheme="minorHAnsi" w:hAnsiTheme="minorHAnsi"/>
          <w:b/>
          <w:bCs/>
          <w:color w:val="5F497A" w:themeColor="accent4" w:themeShade="BF"/>
          <w:sz w:val="28"/>
          <w:szCs w:val="32"/>
          <w:lang w:val="sl-SI"/>
        </w:rPr>
        <w:tab/>
      </w:r>
      <w:r w:rsidR="00601823" w:rsidRPr="00A52510">
        <w:rPr>
          <w:rFonts w:asciiTheme="minorHAnsi" w:hAnsiTheme="minorHAnsi"/>
          <w:b/>
          <w:bCs/>
          <w:color w:val="5F497A" w:themeColor="accent4" w:themeShade="BF"/>
          <w:sz w:val="28"/>
          <w:szCs w:val="32"/>
          <w:lang w:val="sl-SI"/>
        </w:rPr>
        <w:tab/>
      </w:r>
      <w:r w:rsidR="00601823" w:rsidRPr="00A52510">
        <w:rPr>
          <w:rFonts w:asciiTheme="minorHAnsi" w:hAnsiTheme="minorHAnsi"/>
          <w:b/>
          <w:bCs/>
          <w:color w:val="5F497A" w:themeColor="accent4" w:themeShade="BF"/>
          <w:sz w:val="28"/>
          <w:szCs w:val="32"/>
          <w:lang w:val="sl-SI"/>
        </w:rPr>
        <w:tab/>
      </w:r>
      <w:r w:rsidR="00601823" w:rsidRPr="00A52510">
        <w:rPr>
          <w:rFonts w:asciiTheme="minorHAnsi" w:hAnsiTheme="minorHAnsi"/>
          <w:b/>
          <w:bCs/>
          <w:color w:val="5F497A" w:themeColor="accent4" w:themeShade="BF"/>
          <w:sz w:val="28"/>
          <w:szCs w:val="32"/>
          <w:lang w:val="sl-SI"/>
        </w:rPr>
        <w:tab/>
      </w:r>
      <w:r w:rsidR="00601823" w:rsidRPr="00A52510">
        <w:rPr>
          <w:rFonts w:asciiTheme="minorHAnsi" w:hAnsiTheme="minorHAnsi"/>
          <w:b/>
          <w:bCs/>
          <w:color w:val="5F497A" w:themeColor="accent4" w:themeShade="BF"/>
          <w:sz w:val="28"/>
          <w:szCs w:val="32"/>
          <w:lang w:val="sl-SI"/>
        </w:rPr>
        <w:tab/>
      </w:r>
      <w:r w:rsidR="00601823" w:rsidRPr="00A52510">
        <w:rPr>
          <w:rFonts w:asciiTheme="minorHAnsi" w:hAnsiTheme="minorHAnsi"/>
          <w:b/>
          <w:bCs/>
          <w:color w:val="5F497A" w:themeColor="accent4" w:themeShade="BF"/>
          <w:sz w:val="28"/>
          <w:szCs w:val="32"/>
          <w:lang w:val="sl-SI"/>
        </w:rPr>
        <w:tab/>
      </w:r>
      <w:r w:rsidR="00601823" w:rsidRPr="00A52510">
        <w:rPr>
          <w:rFonts w:asciiTheme="minorHAnsi" w:hAnsiTheme="minorHAnsi"/>
          <w:b/>
          <w:bCs/>
          <w:color w:val="5F497A" w:themeColor="accent4" w:themeShade="BF"/>
          <w:sz w:val="28"/>
          <w:szCs w:val="32"/>
          <w:lang w:val="sl-SI"/>
        </w:rPr>
        <w:tab/>
      </w:r>
    </w:p>
    <w:p w14:paraId="07548679" w14:textId="35A73D9F" w:rsidR="00EB5DEF" w:rsidRPr="00A52510" w:rsidRDefault="00EB5DEF" w:rsidP="00AA246D">
      <w:pPr>
        <w:spacing w:after="0" w:line="240" w:lineRule="auto"/>
        <w:jc w:val="both"/>
        <w:outlineLvl w:val="0"/>
        <w:rPr>
          <w:rFonts w:asciiTheme="minorHAnsi" w:hAnsiTheme="minorHAnsi"/>
          <w:b/>
          <w:bCs/>
          <w:sz w:val="28"/>
          <w:szCs w:val="32"/>
          <w:lang w:val="sl-SI"/>
        </w:rPr>
      </w:pPr>
    </w:p>
    <w:p w14:paraId="50B7762B" w14:textId="2DA0A6C8" w:rsidR="000661CD" w:rsidRPr="00A52510" w:rsidRDefault="00256A53" w:rsidP="00AA246D">
      <w:pPr>
        <w:spacing w:after="0" w:line="240" w:lineRule="auto"/>
        <w:jc w:val="both"/>
        <w:outlineLvl w:val="0"/>
        <w:rPr>
          <w:rFonts w:asciiTheme="minorHAnsi" w:hAnsiTheme="minorHAnsi"/>
          <w:b/>
          <w:bCs/>
          <w:sz w:val="28"/>
          <w:szCs w:val="32"/>
          <w:lang w:val="sl-SI"/>
        </w:rPr>
      </w:pPr>
      <w:r w:rsidRPr="00A52510">
        <w:rPr>
          <w:rFonts w:asciiTheme="minorHAnsi" w:hAnsiTheme="minorHAnsi"/>
          <w:b/>
          <w:bCs/>
          <w:sz w:val="28"/>
          <w:szCs w:val="32"/>
          <w:lang w:val="sl-SI"/>
        </w:rPr>
        <w:t>Izšla je znanstvena monografija</w:t>
      </w:r>
    </w:p>
    <w:p w14:paraId="092B10E2" w14:textId="5A5BB633" w:rsidR="00AD63EA" w:rsidRPr="00A52510" w:rsidRDefault="007F7D5A" w:rsidP="007F7D5A">
      <w:pPr>
        <w:spacing w:after="0" w:line="240" w:lineRule="auto"/>
        <w:rPr>
          <w:rFonts w:asciiTheme="minorHAnsi" w:hAnsiTheme="minorHAnsi"/>
          <w:b/>
          <w:lang w:val="sl-SI"/>
        </w:rPr>
      </w:pPr>
      <w:r w:rsidRPr="00A52510">
        <w:rPr>
          <w:rFonts w:asciiTheme="minorHAnsi" w:hAnsiTheme="minorHAnsi"/>
          <w:b/>
          <w:bCs/>
          <w:color w:val="215868" w:themeColor="accent5" w:themeShade="80"/>
          <w:sz w:val="32"/>
          <w:szCs w:val="28"/>
          <w:lang w:val="sl-SI"/>
        </w:rPr>
        <w:t>Podjetništvo med potencialom in razvojnimi ambicijami: GEM Slovenija 2025</w:t>
      </w:r>
    </w:p>
    <w:p w14:paraId="54335D01" w14:textId="77777777" w:rsidR="00E30185" w:rsidRPr="00A52510" w:rsidRDefault="00E30185" w:rsidP="00E30185">
      <w:pPr>
        <w:spacing w:after="0" w:line="240" w:lineRule="auto"/>
        <w:jc w:val="both"/>
        <w:rPr>
          <w:b/>
          <w:i/>
          <w:color w:val="1F497D" w:themeColor="text2"/>
          <w:lang w:val="sl-SI"/>
        </w:rPr>
      </w:pPr>
    </w:p>
    <w:p w14:paraId="5B6AB410" w14:textId="77777777" w:rsidR="00A86DA6" w:rsidRDefault="00A86DA6" w:rsidP="00916E8D">
      <w:pPr>
        <w:spacing w:after="0" w:line="240" w:lineRule="auto"/>
        <w:jc w:val="both"/>
        <w:rPr>
          <w:b/>
          <w:i/>
          <w:iCs/>
          <w:color w:val="215868" w:themeColor="accent5" w:themeShade="80"/>
          <w:sz w:val="24"/>
          <w:szCs w:val="24"/>
          <w:lang w:val="sl-SI"/>
        </w:rPr>
      </w:pPr>
    </w:p>
    <w:p w14:paraId="0F97CE1B" w14:textId="77777777" w:rsidR="00A86DA6" w:rsidRDefault="00A86DA6" w:rsidP="00916E8D">
      <w:pPr>
        <w:spacing w:after="0" w:line="240" w:lineRule="auto"/>
        <w:jc w:val="both"/>
        <w:rPr>
          <w:b/>
          <w:i/>
          <w:iCs/>
          <w:color w:val="215868" w:themeColor="accent5" w:themeShade="80"/>
          <w:sz w:val="24"/>
          <w:szCs w:val="24"/>
          <w:lang w:val="sl-SI"/>
        </w:rPr>
      </w:pPr>
    </w:p>
    <w:p w14:paraId="43EED9E6" w14:textId="278AB6E9" w:rsidR="00B821D2" w:rsidRPr="00A52510" w:rsidRDefault="00E873E3" w:rsidP="00916E8D">
      <w:pPr>
        <w:spacing w:after="0" w:line="240" w:lineRule="auto"/>
        <w:jc w:val="both"/>
        <w:rPr>
          <w:b/>
          <w:color w:val="215868" w:themeColor="accent5" w:themeShade="80"/>
          <w:sz w:val="24"/>
          <w:szCs w:val="24"/>
          <w:lang w:val="sl-SI"/>
        </w:rPr>
      </w:pPr>
      <w:r w:rsidRPr="00A52510">
        <w:rPr>
          <w:b/>
          <w:i/>
          <w:iCs/>
          <w:color w:val="215868" w:themeColor="accent5" w:themeShade="80"/>
          <w:sz w:val="24"/>
          <w:szCs w:val="24"/>
          <w:lang w:val="sl-SI"/>
        </w:rPr>
        <w:t xml:space="preserve">Maribor, </w:t>
      </w:r>
      <w:r w:rsidR="00561AD4" w:rsidRPr="00A52510">
        <w:rPr>
          <w:b/>
          <w:i/>
          <w:iCs/>
          <w:color w:val="215868" w:themeColor="accent5" w:themeShade="80"/>
          <w:sz w:val="24"/>
          <w:szCs w:val="24"/>
          <w:lang w:val="sl-SI"/>
        </w:rPr>
        <w:t>8</w:t>
      </w:r>
      <w:r w:rsidRPr="00A52510">
        <w:rPr>
          <w:b/>
          <w:i/>
          <w:iCs/>
          <w:color w:val="215868" w:themeColor="accent5" w:themeShade="80"/>
          <w:sz w:val="24"/>
          <w:szCs w:val="24"/>
          <w:lang w:val="sl-SI"/>
        </w:rPr>
        <w:t>. maj 202</w:t>
      </w:r>
      <w:r w:rsidR="007F7D5A" w:rsidRPr="00A52510">
        <w:rPr>
          <w:b/>
          <w:i/>
          <w:iCs/>
          <w:color w:val="215868" w:themeColor="accent5" w:themeShade="80"/>
          <w:sz w:val="24"/>
          <w:szCs w:val="24"/>
          <w:lang w:val="sl-SI"/>
        </w:rPr>
        <w:t>6</w:t>
      </w:r>
      <w:r w:rsidRPr="00A52510">
        <w:rPr>
          <w:b/>
          <w:color w:val="215868" w:themeColor="accent5" w:themeShade="80"/>
          <w:sz w:val="24"/>
          <w:szCs w:val="24"/>
          <w:lang w:val="sl-SI"/>
        </w:rPr>
        <w:t xml:space="preserve"> - </w:t>
      </w:r>
      <w:r w:rsidR="00017FB9" w:rsidRPr="00A52510">
        <w:rPr>
          <w:b/>
          <w:color w:val="215868" w:themeColor="accent5" w:themeShade="80"/>
          <w:sz w:val="24"/>
          <w:szCs w:val="24"/>
          <w:lang w:val="sl-SI"/>
        </w:rPr>
        <w:t>Slovenija ima močan podjetniški potencial, visoko samozaznavo podjetniških kompetenc in vse izrazitejši segment razvojno ambicioznih podjetnikov. Ključni izziv pa ostaja, kako ta potencial hitreje pretvoriti v več zaznanih poslovnih priložnosti, več novih podjetij, rast, inovacije in višjo dodano vrednost</w:t>
      </w:r>
      <w:r w:rsidR="00601823" w:rsidRPr="00A52510">
        <w:rPr>
          <w:b/>
          <w:color w:val="215868" w:themeColor="accent5" w:themeShade="80"/>
          <w:sz w:val="24"/>
          <w:szCs w:val="24"/>
          <w:lang w:val="sl-SI"/>
        </w:rPr>
        <w:t>.</w:t>
      </w:r>
    </w:p>
    <w:p w14:paraId="6FB8C927" w14:textId="77777777" w:rsidR="00074972" w:rsidRPr="00A52510" w:rsidRDefault="00074972" w:rsidP="00C731A7">
      <w:pPr>
        <w:spacing w:after="0" w:line="240" w:lineRule="auto"/>
        <w:jc w:val="both"/>
        <w:rPr>
          <w:b/>
          <w:lang w:val="sl-SI"/>
        </w:rPr>
      </w:pPr>
    </w:p>
    <w:tbl>
      <w:tblPr>
        <w:tblStyle w:val="Tabelamre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1DA"/>
        <w:tblLook w:val="04A0" w:firstRow="1" w:lastRow="0" w:firstColumn="1" w:lastColumn="0" w:noHBand="0" w:noVBand="1"/>
      </w:tblPr>
      <w:tblGrid>
        <w:gridCol w:w="9072"/>
      </w:tblGrid>
      <w:tr w:rsidR="002C6EE3" w:rsidRPr="008F35FC" w14:paraId="343C9F1A" w14:textId="77777777" w:rsidTr="00A86DA6">
        <w:tc>
          <w:tcPr>
            <w:tcW w:w="9072" w:type="dxa"/>
            <w:shd w:val="clear" w:color="auto" w:fill="E7E1DA"/>
          </w:tcPr>
          <w:p w14:paraId="76C6FD3F" w14:textId="3B689CC5" w:rsidR="00577DAE" w:rsidRPr="00A52510" w:rsidRDefault="002C6EE3" w:rsidP="002F173F">
            <w:pPr>
              <w:spacing w:after="0" w:line="240" w:lineRule="auto"/>
              <w:jc w:val="both"/>
              <w:rPr>
                <w:rFonts w:cs="Calibri"/>
                <w:b/>
                <w:bCs/>
                <w:i/>
                <w:iCs/>
                <w:sz w:val="20"/>
                <w:szCs w:val="20"/>
                <w:lang w:val="sl-SI"/>
              </w:rPr>
            </w:pPr>
            <w:r w:rsidRPr="00A52510">
              <w:rPr>
                <w:rFonts w:cs="Calibri"/>
                <w:i/>
                <w:iCs/>
                <w:sz w:val="20"/>
                <w:szCs w:val="20"/>
                <w:lang w:val="sl-SI"/>
              </w:rPr>
              <w:t xml:space="preserve">V okviru mednarodnega raziskovalnega projekta </w:t>
            </w:r>
            <w:r w:rsidRPr="00A52510">
              <w:rPr>
                <w:rFonts w:cs="Calibri"/>
                <w:b/>
                <w:i/>
                <w:iCs/>
                <w:sz w:val="20"/>
                <w:szCs w:val="20"/>
                <w:lang w:val="sl-SI"/>
              </w:rPr>
              <w:t xml:space="preserve">Global </w:t>
            </w:r>
            <w:proofErr w:type="spellStart"/>
            <w:r w:rsidRPr="00A52510">
              <w:rPr>
                <w:rFonts w:cs="Calibri"/>
                <w:b/>
                <w:i/>
                <w:iCs/>
                <w:sz w:val="20"/>
                <w:szCs w:val="20"/>
                <w:lang w:val="sl-SI"/>
              </w:rPr>
              <w:t>Entrepreneurship</w:t>
            </w:r>
            <w:proofErr w:type="spellEnd"/>
            <w:r w:rsidRPr="00A52510">
              <w:rPr>
                <w:rFonts w:cs="Calibri"/>
                <w:b/>
                <w:i/>
                <w:iCs/>
                <w:sz w:val="20"/>
                <w:szCs w:val="20"/>
                <w:lang w:val="sl-SI"/>
              </w:rPr>
              <w:t xml:space="preserve"> Monitor (GEM)</w:t>
            </w:r>
            <w:r w:rsidRPr="00A52510">
              <w:rPr>
                <w:rFonts w:cs="Calibri"/>
                <w:i/>
                <w:iCs/>
                <w:sz w:val="20"/>
                <w:szCs w:val="20"/>
                <w:lang w:val="sl-SI"/>
              </w:rPr>
              <w:t xml:space="preserve"> je v zbirki »</w:t>
            </w:r>
            <w:r w:rsidR="00281D3E" w:rsidRPr="00A52510">
              <w:rPr>
                <w:rFonts w:cs="Calibri"/>
                <w:i/>
                <w:iCs/>
                <w:sz w:val="20"/>
                <w:szCs w:val="20"/>
                <w:lang w:val="sl-SI"/>
              </w:rPr>
              <w:t>Globalni podjetniški monitor Slovenija</w:t>
            </w:r>
            <w:r w:rsidRPr="00A52510">
              <w:rPr>
                <w:rFonts w:cs="Calibri"/>
                <w:i/>
                <w:iCs/>
                <w:sz w:val="20"/>
                <w:szCs w:val="20"/>
                <w:lang w:val="sl-SI"/>
              </w:rPr>
              <w:t xml:space="preserve">« izšla znanstvena monografija </w:t>
            </w:r>
            <w:r w:rsidR="00017FB9" w:rsidRPr="00A52510">
              <w:rPr>
                <w:rFonts w:cs="Calibri"/>
                <w:b/>
                <w:bCs/>
                <w:i/>
                <w:iCs/>
                <w:sz w:val="20"/>
                <w:szCs w:val="20"/>
                <w:lang w:val="sl-SI"/>
              </w:rPr>
              <w:t>Podjetništvo med potencialom in razvojnimi ambicijami: GEM Slovenija 2025</w:t>
            </w:r>
            <w:r w:rsidRPr="00A52510">
              <w:rPr>
                <w:rFonts w:cs="Calibri"/>
                <w:i/>
                <w:iCs/>
                <w:sz w:val="20"/>
                <w:szCs w:val="20"/>
                <w:lang w:val="sl-SI"/>
              </w:rPr>
              <w:t xml:space="preserve">, </w:t>
            </w:r>
            <w:r w:rsidR="00F27C59" w:rsidRPr="00A52510">
              <w:rPr>
                <w:rFonts w:cs="Calibri"/>
                <w:i/>
                <w:iCs/>
                <w:sz w:val="20"/>
                <w:szCs w:val="20"/>
                <w:lang w:val="sl-SI"/>
              </w:rPr>
              <w:t>ki so jo pripravili raziskovalci Inštituta za podjetništvo in management malih podjetij na Ekonomsko-poslovni fakulteti Univerze v Mariboru</w:t>
            </w:r>
            <w:r w:rsidRPr="00A52510">
              <w:rPr>
                <w:rFonts w:cs="Calibri"/>
                <w:i/>
                <w:iCs/>
                <w:sz w:val="20"/>
                <w:szCs w:val="20"/>
                <w:lang w:val="sl-SI"/>
              </w:rPr>
              <w:t xml:space="preserve">. </w:t>
            </w:r>
          </w:p>
        </w:tc>
      </w:tr>
    </w:tbl>
    <w:p w14:paraId="6CE1ACC8" w14:textId="08749BB9" w:rsidR="00B821D2" w:rsidRPr="00A52510" w:rsidRDefault="00B821D2" w:rsidP="007C5D52">
      <w:pPr>
        <w:spacing w:after="120" w:line="240" w:lineRule="auto"/>
        <w:jc w:val="both"/>
        <w:rPr>
          <w:rFonts w:cstheme="minorHAnsi"/>
          <w:b/>
          <w:bCs/>
          <w:color w:val="1F497D" w:themeColor="text2"/>
          <w:sz w:val="24"/>
          <w:szCs w:val="24"/>
          <w:lang w:val="sl-SI"/>
        </w:rPr>
      </w:pPr>
    </w:p>
    <w:p w14:paraId="53A44565" w14:textId="77777777" w:rsidR="00B33E0D" w:rsidRPr="00A52510" w:rsidRDefault="00B33E0D" w:rsidP="00B33E0D">
      <w:pPr>
        <w:spacing w:after="120" w:line="240" w:lineRule="auto"/>
        <w:jc w:val="both"/>
        <w:rPr>
          <w:rFonts w:cstheme="minorHAnsi"/>
          <w:sz w:val="24"/>
          <w:szCs w:val="24"/>
          <w:lang w:val="sl-SI"/>
        </w:rPr>
      </w:pPr>
      <w:r w:rsidRPr="00A52510">
        <w:rPr>
          <w:rFonts w:cstheme="minorHAnsi"/>
          <w:sz w:val="24"/>
          <w:szCs w:val="24"/>
          <w:lang w:val="sl-SI"/>
        </w:rPr>
        <w:t>Raziskava GEM Slovenija 2025 prinaša celovit vpogled v stanje slovenskega podjetništva v času tehnoloških sprememb, pritiska na produktivnost, trajnostnih izzivov in vse večjih razvojnih pričakovanj. Letošnji rezultati kažejo mešano sliko: podjetništvo je v slovenski družbi visoko cenjeno, posamezniki svoje podjetniške kompetence ocenjujejo nadpovprečno, del podjetnikov pa izkazuje visoke ambicije na področju rasti, digitalizacije in umetne inteligence. Hkrati se zgodnja podjetniška aktivnost zmanjšuje, zaznavanje poslovnih priložnosti se ohlaja, podjetniški ekosistem pa ostaja manj učinkovit kot v primerljivih evropskih okoljih.</w:t>
      </w:r>
    </w:p>
    <w:p w14:paraId="2E167DF2" w14:textId="77777777" w:rsidR="009F49C9" w:rsidRPr="00A52510" w:rsidRDefault="009F49C9" w:rsidP="00B33E0D">
      <w:pPr>
        <w:spacing w:after="120" w:line="240" w:lineRule="auto"/>
        <w:jc w:val="both"/>
        <w:rPr>
          <w:rFonts w:cstheme="minorHAnsi"/>
          <w:sz w:val="24"/>
          <w:szCs w:val="24"/>
          <w:lang w:val="sl-SI"/>
        </w:rPr>
      </w:pPr>
    </w:p>
    <w:p w14:paraId="60070A28" w14:textId="77777777" w:rsidR="00B33E0D" w:rsidRPr="00A52510" w:rsidRDefault="00B33E0D" w:rsidP="00B33E0D">
      <w:pPr>
        <w:spacing w:after="120" w:line="240" w:lineRule="auto"/>
        <w:jc w:val="both"/>
        <w:rPr>
          <w:rFonts w:cstheme="minorHAnsi"/>
          <w:b/>
          <w:bCs/>
          <w:color w:val="1F497D" w:themeColor="text2"/>
          <w:sz w:val="24"/>
          <w:szCs w:val="24"/>
          <w:lang w:val="sl-SI"/>
        </w:rPr>
      </w:pPr>
      <w:r w:rsidRPr="00A52510">
        <w:rPr>
          <w:rFonts w:cstheme="minorHAnsi"/>
          <w:b/>
          <w:bCs/>
          <w:color w:val="1F497D" w:themeColor="text2"/>
          <w:sz w:val="24"/>
          <w:szCs w:val="24"/>
          <w:lang w:val="sl-SI"/>
        </w:rPr>
        <w:t>Potencial je močan, prehod v podjetniško aktivnost pa prepočasen</w:t>
      </w:r>
    </w:p>
    <w:p w14:paraId="091D91E7" w14:textId="77777777" w:rsidR="00B33E0D" w:rsidRPr="00A52510" w:rsidRDefault="00B33E0D" w:rsidP="00B33E0D">
      <w:pPr>
        <w:spacing w:after="120" w:line="240" w:lineRule="auto"/>
        <w:jc w:val="both"/>
        <w:rPr>
          <w:rFonts w:cstheme="minorHAnsi"/>
          <w:sz w:val="24"/>
          <w:szCs w:val="24"/>
          <w:lang w:val="sl-SI"/>
        </w:rPr>
      </w:pPr>
      <w:r w:rsidRPr="00A52510">
        <w:rPr>
          <w:rFonts w:cstheme="minorHAnsi"/>
          <w:sz w:val="24"/>
          <w:szCs w:val="24"/>
          <w:lang w:val="sl-SI"/>
        </w:rPr>
        <w:t xml:space="preserve">Slovenija se v letu 2025 uvršča med evropske države z zelo visoko samozaznavo podjetniških kompetenc. Kar </w:t>
      </w:r>
      <w:r w:rsidRPr="00A52510">
        <w:rPr>
          <w:rFonts w:cstheme="minorHAnsi"/>
          <w:b/>
          <w:bCs/>
          <w:sz w:val="24"/>
          <w:szCs w:val="24"/>
          <w:lang w:val="sl-SI"/>
        </w:rPr>
        <w:t>67 % odraslih</w:t>
      </w:r>
      <w:r w:rsidRPr="00A52510">
        <w:rPr>
          <w:rFonts w:cstheme="minorHAnsi"/>
          <w:sz w:val="24"/>
          <w:szCs w:val="24"/>
          <w:lang w:val="sl-SI"/>
        </w:rPr>
        <w:t xml:space="preserve"> ocenjuje, da ima znanje, izkušnje in sposobnosti za podjetništvo. Toda zaznavanje tržnih priložnosti je bistveno bolj zadržano: dobre poslovne priložnosti v svojem okolju zaznava </w:t>
      </w:r>
      <w:r w:rsidRPr="00A52510">
        <w:rPr>
          <w:rFonts w:cstheme="minorHAnsi"/>
          <w:b/>
          <w:bCs/>
          <w:sz w:val="24"/>
          <w:szCs w:val="24"/>
          <w:lang w:val="sl-SI"/>
        </w:rPr>
        <w:t>51 % prebivalstva</w:t>
      </w:r>
      <w:r w:rsidRPr="00A52510">
        <w:rPr>
          <w:rFonts w:cstheme="minorHAnsi"/>
          <w:sz w:val="24"/>
          <w:szCs w:val="24"/>
          <w:lang w:val="sl-SI"/>
        </w:rPr>
        <w:t>. To pomeni, da je slovenski podjetniški potencial kompetenten, vendar se ne pretvarja dovolj hitro v konkretne podjetniške odločitve.</w:t>
      </w:r>
    </w:p>
    <w:p w14:paraId="4894ECD0" w14:textId="130ACFFC" w:rsidR="008405C0" w:rsidRDefault="00B33E0D" w:rsidP="00B33E0D">
      <w:pPr>
        <w:spacing w:after="120" w:line="240" w:lineRule="auto"/>
        <w:jc w:val="both"/>
        <w:rPr>
          <w:rFonts w:cstheme="minorHAnsi"/>
          <w:sz w:val="24"/>
          <w:szCs w:val="24"/>
          <w:lang w:val="sl-SI"/>
        </w:rPr>
      </w:pPr>
      <w:r w:rsidRPr="00A52510">
        <w:rPr>
          <w:rFonts w:cstheme="minorHAnsi"/>
          <w:sz w:val="24"/>
          <w:szCs w:val="24"/>
          <w:lang w:val="sl-SI"/>
        </w:rPr>
        <w:lastRenderedPageBreak/>
        <w:t xml:space="preserve">Ta razkorak se odraža tudi v zgodnji podjetniški aktivnosti. Delež odraslih, vključenih v zgodnjo podjetniško aktivnost, je v Sloveniji v letu 2025 znašal </w:t>
      </w:r>
      <w:r w:rsidRPr="00A52510">
        <w:rPr>
          <w:rFonts w:cstheme="minorHAnsi"/>
          <w:b/>
          <w:bCs/>
          <w:sz w:val="24"/>
          <w:szCs w:val="24"/>
          <w:lang w:val="sl-SI"/>
        </w:rPr>
        <w:t>7,1 %</w:t>
      </w:r>
      <w:r w:rsidRPr="00A52510">
        <w:rPr>
          <w:rFonts w:cstheme="minorHAnsi"/>
          <w:sz w:val="24"/>
          <w:szCs w:val="24"/>
          <w:lang w:val="sl-SI"/>
        </w:rPr>
        <w:t>, kar je manj kot v povprečju evropskih držav GEM (</w:t>
      </w:r>
      <w:r w:rsidRPr="00A52510">
        <w:rPr>
          <w:rFonts w:cstheme="minorHAnsi"/>
          <w:b/>
          <w:bCs/>
          <w:sz w:val="24"/>
          <w:szCs w:val="24"/>
          <w:lang w:val="sl-SI"/>
        </w:rPr>
        <w:t>10,3 %</w:t>
      </w:r>
      <w:r w:rsidRPr="00A52510">
        <w:rPr>
          <w:rFonts w:cstheme="minorHAnsi"/>
          <w:sz w:val="24"/>
          <w:szCs w:val="24"/>
          <w:lang w:val="sl-SI"/>
        </w:rPr>
        <w:t>) in bistveno manj od povprečja vseh držav GEM (</w:t>
      </w:r>
      <w:r w:rsidRPr="00A52510">
        <w:rPr>
          <w:rFonts w:cstheme="minorHAnsi"/>
          <w:b/>
          <w:bCs/>
          <w:sz w:val="24"/>
          <w:szCs w:val="24"/>
          <w:lang w:val="sl-SI"/>
        </w:rPr>
        <w:t>14,5 %</w:t>
      </w:r>
      <w:r w:rsidRPr="00A52510">
        <w:rPr>
          <w:rFonts w:cstheme="minorHAnsi"/>
          <w:sz w:val="24"/>
          <w:szCs w:val="24"/>
          <w:lang w:val="sl-SI"/>
        </w:rPr>
        <w:t xml:space="preserve">). Po drugi strani Slovenija razmeroma dobro ohranja ustaljena podjetja: delež ustaljenih podjetnikov znaša </w:t>
      </w:r>
      <w:r w:rsidRPr="00A52510">
        <w:rPr>
          <w:rFonts w:cstheme="minorHAnsi"/>
          <w:b/>
          <w:bCs/>
          <w:sz w:val="24"/>
          <w:szCs w:val="24"/>
          <w:lang w:val="sl-SI"/>
        </w:rPr>
        <w:t>9,8 %</w:t>
      </w:r>
      <w:r w:rsidRPr="00A52510">
        <w:rPr>
          <w:rFonts w:cstheme="minorHAnsi"/>
          <w:sz w:val="24"/>
          <w:szCs w:val="24"/>
          <w:lang w:val="sl-SI"/>
        </w:rPr>
        <w:t>, kar presega evropsko povprečje (</w:t>
      </w:r>
      <w:r w:rsidRPr="00A52510">
        <w:rPr>
          <w:rFonts w:cstheme="minorHAnsi"/>
          <w:b/>
          <w:bCs/>
          <w:sz w:val="24"/>
          <w:szCs w:val="24"/>
          <w:lang w:val="sl-SI"/>
        </w:rPr>
        <w:t>7,0 %</w:t>
      </w:r>
      <w:r w:rsidRPr="00A52510">
        <w:rPr>
          <w:rFonts w:cstheme="minorHAnsi"/>
          <w:sz w:val="24"/>
          <w:szCs w:val="24"/>
          <w:lang w:val="sl-SI"/>
        </w:rPr>
        <w:t>). Slovenski podjetniški prostor tako zaznamuje stabilno jedro obstoječih podjetij, vendar šibkejša regeneracija podjetniške baze.</w:t>
      </w:r>
    </w:p>
    <w:p w14:paraId="7E7F217C" w14:textId="77777777" w:rsidR="00A86DA6" w:rsidRDefault="00A86DA6" w:rsidP="00B33E0D">
      <w:pPr>
        <w:spacing w:after="120" w:line="240" w:lineRule="auto"/>
        <w:jc w:val="both"/>
        <w:rPr>
          <w:rFonts w:cstheme="minorHAnsi"/>
          <w:sz w:val="24"/>
          <w:szCs w:val="24"/>
          <w:lang w:val="sl-SI"/>
        </w:rPr>
      </w:pPr>
    </w:p>
    <w:p w14:paraId="62B1CDFA" w14:textId="0C611376" w:rsidR="008F5C2B" w:rsidRDefault="008F35FC" w:rsidP="00B33E0D">
      <w:pPr>
        <w:spacing w:after="120" w:line="240" w:lineRule="auto"/>
        <w:jc w:val="both"/>
        <w:rPr>
          <w:rFonts w:cstheme="minorHAnsi"/>
          <w:sz w:val="24"/>
          <w:szCs w:val="24"/>
          <w:lang w:val="sl-SI"/>
        </w:rPr>
      </w:pPr>
      <w:r w:rsidRPr="008F35FC">
        <w:rPr>
          <w:rFonts w:cstheme="minorHAnsi"/>
          <w:sz w:val="24"/>
          <w:szCs w:val="24"/>
          <w:lang w:val="sl-SI"/>
        </w:rPr>
        <w:drawing>
          <wp:inline distT="0" distB="0" distL="0" distR="0" wp14:anchorId="03343E7B" wp14:editId="1B31711B">
            <wp:extent cx="5731510" cy="4333875"/>
            <wp:effectExtent l="0" t="0" r="2540" b="9525"/>
            <wp:docPr id="11006762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76215" name=""/>
                    <pic:cNvPicPr/>
                  </pic:nvPicPr>
                  <pic:blipFill>
                    <a:blip r:embed="rId12"/>
                    <a:stretch>
                      <a:fillRect/>
                    </a:stretch>
                  </pic:blipFill>
                  <pic:spPr>
                    <a:xfrm>
                      <a:off x="0" y="0"/>
                      <a:ext cx="5731510" cy="4333875"/>
                    </a:xfrm>
                    <a:prstGeom prst="rect">
                      <a:avLst/>
                    </a:prstGeom>
                  </pic:spPr>
                </pic:pic>
              </a:graphicData>
            </a:graphic>
          </wp:inline>
        </w:drawing>
      </w:r>
    </w:p>
    <w:p w14:paraId="5B9B5FFC" w14:textId="77777777" w:rsidR="008405C0" w:rsidRPr="00A52510" w:rsidRDefault="008405C0" w:rsidP="00B33E0D">
      <w:pPr>
        <w:spacing w:after="120" w:line="240" w:lineRule="auto"/>
        <w:jc w:val="both"/>
        <w:rPr>
          <w:rFonts w:cstheme="minorHAnsi"/>
          <w:sz w:val="24"/>
          <w:szCs w:val="24"/>
          <w:lang w:val="sl-SI"/>
        </w:rPr>
      </w:pPr>
    </w:p>
    <w:p w14:paraId="2B90A622" w14:textId="77777777" w:rsidR="00B33E0D" w:rsidRPr="00A52510" w:rsidRDefault="00B33E0D" w:rsidP="00B33E0D">
      <w:pPr>
        <w:spacing w:after="120" w:line="240" w:lineRule="auto"/>
        <w:jc w:val="both"/>
        <w:rPr>
          <w:rFonts w:cstheme="minorHAnsi"/>
          <w:i/>
          <w:iCs/>
          <w:color w:val="1F497D" w:themeColor="text2"/>
          <w:sz w:val="24"/>
          <w:szCs w:val="24"/>
          <w:lang w:val="sl-SI"/>
        </w:rPr>
      </w:pPr>
      <w:r w:rsidRPr="00A52510">
        <w:rPr>
          <w:rFonts w:cstheme="minorHAnsi"/>
          <w:i/>
          <w:iCs/>
          <w:color w:val="1F497D" w:themeColor="text2"/>
          <w:sz w:val="24"/>
          <w:szCs w:val="24"/>
          <w:lang w:val="sl-SI"/>
        </w:rPr>
        <w:t>Prof. dr. Karin Širec, vodja raziskave GEM Slovenija, poudarja: »Slovensko podjetniško okolje zaznamuje neuravnoteženost med stabilnim jedrom ustaljenih podjetij in šibko dinamiko nastajanja novih, kar kaže na omejeno regeneracijo podjetniške baze. Kljub razmeroma široki bazi potencialnih podjetnikov se ti le delno pretvarjajo v dejansko podjetniško aktivnost. Prihodnja vitalnost podjetniškega prostora bo zato odvisna predvsem od večje pretočnosti sistema – od lažjih vstopov, učinkovitejših razvojnih prehodov in bolj razvitih izhodnih mehanizmov.«</w:t>
      </w:r>
    </w:p>
    <w:p w14:paraId="508BAAF4" w14:textId="77777777" w:rsidR="009F49C9" w:rsidRPr="00A52510" w:rsidRDefault="009F49C9" w:rsidP="00B33E0D">
      <w:pPr>
        <w:spacing w:after="120" w:line="240" w:lineRule="auto"/>
        <w:jc w:val="both"/>
        <w:rPr>
          <w:rFonts w:cstheme="minorHAnsi"/>
          <w:i/>
          <w:iCs/>
          <w:color w:val="1F497D" w:themeColor="text2"/>
          <w:sz w:val="24"/>
          <w:szCs w:val="24"/>
          <w:lang w:val="sl-SI"/>
        </w:rPr>
      </w:pPr>
    </w:p>
    <w:p w14:paraId="6742371F" w14:textId="77777777" w:rsidR="00B33E0D" w:rsidRPr="00A52510" w:rsidRDefault="00B33E0D" w:rsidP="00013365">
      <w:pPr>
        <w:spacing w:after="120" w:line="240" w:lineRule="auto"/>
        <w:jc w:val="both"/>
        <w:rPr>
          <w:rFonts w:cstheme="minorHAnsi"/>
          <w:b/>
          <w:bCs/>
          <w:color w:val="1F497D" w:themeColor="text2"/>
          <w:sz w:val="24"/>
          <w:szCs w:val="24"/>
          <w:lang w:val="sl-SI"/>
        </w:rPr>
      </w:pPr>
      <w:r w:rsidRPr="00A52510">
        <w:rPr>
          <w:rFonts w:cstheme="minorHAnsi"/>
          <w:b/>
          <w:bCs/>
          <w:color w:val="1F497D" w:themeColor="text2"/>
          <w:sz w:val="24"/>
          <w:szCs w:val="24"/>
          <w:lang w:val="sl-SI"/>
        </w:rPr>
        <w:t>Podjetništvo je spoštovano, a posamezniki ostajajo previdni</w:t>
      </w:r>
    </w:p>
    <w:p w14:paraId="7249991E" w14:textId="77777777" w:rsidR="00B33E0D" w:rsidRPr="00A52510" w:rsidRDefault="00B33E0D" w:rsidP="00B33E0D">
      <w:pPr>
        <w:spacing w:after="120" w:line="240" w:lineRule="auto"/>
        <w:jc w:val="both"/>
        <w:rPr>
          <w:rFonts w:cstheme="minorHAnsi"/>
          <w:sz w:val="24"/>
          <w:szCs w:val="24"/>
          <w:lang w:val="sl-SI"/>
        </w:rPr>
      </w:pPr>
      <w:r w:rsidRPr="00A52510">
        <w:rPr>
          <w:rFonts w:cstheme="minorHAnsi"/>
          <w:sz w:val="24"/>
          <w:szCs w:val="24"/>
          <w:lang w:val="sl-SI"/>
        </w:rPr>
        <w:t xml:space="preserve">Raziskava potrjuje, da Slovenija izstopa po pozitivni družbeni klimi do podjetništva. Uspešni podjetniki so v družbi prepoznani kot ugledni, podjetništvo pa ostaja pomembna in legitimna karierna možnost. Vendar visoka družbena podpora sama po sebi ne zadošča za več </w:t>
      </w:r>
      <w:r w:rsidRPr="00A52510">
        <w:rPr>
          <w:rFonts w:cstheme="minorHAnsi"/>
          <w:sz w:val="24"/>
          <w:szCs w:val="24"/>
          <w:lang w:val="sl-SI"/>
        </w:rPr>
        <w:lastRenderedPageBreak/>
        <w:t>podjetniške aktivnosti. Posamezniki ostajajo previdni, posebej kadar zaznavajo premalo konkretnih poslovnih priložnosti ali previsoka tveganja.</w:t>
      </w:r>
    </w:p>
    <w:p w14:paraId="0C841394" w14:textId="77777777" w:rsidR="00B33E0D" w:rsidRPr="00A52510" w:rsidRDefault="00B33E0D" w:rsidP="00B33E0D">
      <w:pPr>
        <w:spacing w:after="120" w:line="240" w:lineRule="auto"/>
        <w:jc w:val="both"/>
        <w:rPr>
          <w:rFonts w:cstheme="minorHAnsi"/>
          <w:sz w:val="24"/>
          <w:szCs w:val="24"/>
          <w:lang w:val="sl-SI"/>
        </w:rPr>
      </w:pPr>
      <w:r w:rsidRPr="00A52510">
        <w:rPr>
          <w:rFonts w:cstheme="minorHAnsi"/>
          <w:sz w:val="24"/>
          <w:szCs w:val="24"/>
          <w:lang w:val="sl-SI"/>
        </w:rPr>
        <w:t xml:space="preserve">Strah pred neuspehom ostaja pomembna, vendar selektivna ovira. V celotni populaciji ga kot oviro navaja </w:t>
      </w:r>
      <w:r w:rsidRPr="00A52510">
        <w:rPr>
          <w:rFonts w:cstheme="minorHAnsi"/>
          <w:b/>
          <w:bCs/>
          <w:sz w:val="24"/>
          <w:szCs w:val="24"/>
          <w:lang w:val="sl-SI"/>
        </w:rPr>
        <w:t>43 %</w:t>
      </w:r>
      <w:r w:rsidRPr="00A52510">
        <w:rPr>
          <w:rFonts w:cstheme="minorHAnsi"/>
          <w:sz w:val="24"/>
          <w:szCs w:val="24"/>
          <w:lang w:val="sl-SI"/>
        </w:rPr>
        <w:t xml:space="preserve"> posameznikov, pri čemer je bistveno izrazitejši pri ženskah (</w:t>
      </w:r>
      <w:r w:rsidRPr="00A52510">
        <w:rPr>
          <w:rFonts w:cstheme="minorHAnsi"/>
          <w:b/>
          <w:bCs/>
          <w:sz w:val="24"/>
          <w:szCs w:val="24"/>
          <w:lang w:val="sl-SI"/>
        </w:rPr>
        <w:t>51 %</w:t>
      </w:r>
      <w:r w:rsidRPr="00A52510">
        <w:rPr>
          <w:rFonts w:cstheme="minorHAnsi"/>
          <w:sz w:val="24"/>
          <w:szCs w:val="24"/>
          <w:lang w:val="sl-SI"/>
        </w:rPr>
        <w:t>) kot pri moških (</w:t>
      </w:r>
      <w:r w:rsidRPr="00A52510">
        <w:rPr>
          <w:rFonts w:cstheme="minorHAnsi"/>
          <w:b/>
          <w:bCs/>
          <w:sz w:val="24"/>
          <w:szCs w:val="24"/>
          <w:lang w:val="sl-SI"/>
        </w:rPr>
        <w:t>37 %</w:t>
      </w:r>
      <w:r w:rsidRPr="00A52510">
        <w:rPr>
          <w:rFonts w:cstheme="minorHAnsi"/>
          <w:sz w:val="24"/>
          <w:szCs w:val="24"/>
          <w:lang w:val="sl-SI"/>
        </w:rPr>
        <w:t>). To kaže, da agregatno ugodna slika slovenskega podjetniškega potenciala prikriva razlike med družbenimi skupinami, zlasti pri samozavesti, dostopu do priložnosti in pripravljenosti na tveganje.</w:t>
      </w:r>
    </w:p>
    <w:p w14:paraId="75CF9812" w14:textId="77777777" w:rsidR="008F35FC" w:rsidRDefault="00B33E0D" w:rsidP="00B33E0D">
      <w:pPr>
        <w:spacing w:after="120" w:line="240" w:lineRule="auto"/>
        <w:jc w:val="both"/>
        <w:rPr>
          <w:rFonts w:cstheme="minorHAnsi"/>
          <w:i/>
          <w:iCs/>
          <w:color w:val="1F497D" w:themeColor="text2"/>
          <w:sz w:val="24"/>
          <w:szCs w:val="24"/>
          <w:lang w:val="sl-SI"/>
        </w:rPr>
      </w:pPr>
      <w:r w:rsidRPr="00A52510">
        <w:rPr>
          <w:rFonts w:cstheme="minorHAnsi"/>
          <w:i/>
          <w:iCs/>
          <w:color w:val="1F497D" w:themeColor="text2"/>
          <w:sz w:val="24"/>
          <w:szCs w:val="24"/>
          <w:lang w:val="sl-SI"/>
        </w:rPr>
        <w:t xml:space="preserve">Prof. dr. Polona Tominc izpostavlja: </w:t>
      </w:r>
      <w:r w:rsidR="008F35FC" w:rsidRPr="008F35FC">
        <w:rPr>
          <w:rFonts w:cstheme="minorHAnsi"/>
          <w:i/>
          <w:iCs/>
          <w:color w:val="1F497D" w:themeColor="text2"/>
          <w:sz w:val="24"/>
          <w:szCs w:val="24"/>
          <w:lang w:val="sl-SI"/>
        </w:rPr>
        <w:t>»Slovenija izstopa po visoki družbeni legitimnosti podjetništva in nadpovprečni samozaznavi podjetniških kompetenc, vendar se ta potencial še ne odraža dovolj v dejanski podjetniški aktivnosti, saj zaznavanje priložnosti upada, posamezniki pa ostajajo previdni pri tveganjih. Od zmanjševanja zaznanih tveganj in učinkovitejšega prehoda od zaznav in kompetenc k konkretnim podjetniškim odločitvam bo v veliki meri odvisno, kako uspešno bo Slovenija aktivirala svoj podjetniški potencial.«</w:t>
      </w:r>
      <w:r w:rsidR="008F35FC" w:rsidRPr="008F35FC">
        <w:rPr>
          <w:rFonts w:cstheme="minorHAnsi"/>
          <w:i/>
          <w:iCs/>
          <w:color w:val="1F497D" w:themeColor="text2"/>
          <w:sz w:val="24"/>
          <w:szCs w:val="24"/>
          <w:lang w:val="sl-SI"/>
        </w:rPr>
        <w:t xml:space="preserve"> </w:t>
      </w:r>
    </w:p>
    <w:p w14:paraId="01442482" w14:textId="77777777" w:rsidR="009F49C9" w:rsidRPr="00A52510" w:rsidRDefault="009F49C9" w:rsidP="00013365">
      <w:pPr>
        <w:spacing w:after="120" w:line="240" w:lineRule="auto"/>
        <w:jc w:val="both"/>
        <w:rPr>
          <w:rFonts w:cstheme="minorHAnsi"/>
          <w:sz w:val="24"/>
          <w:szCs w:val="24"/>
          <w:lang w:val="sl-SI"/>
        </w:rPr>
      </w:pPr>
    </w:p>
    <w:p w14:paraId="109BA848" w14:textId="77777777" w:rsidR="008341ED" w:rsidRPr="00A52510" w:rsidRDefault="008341ED" w:rsidP="008341ED">
      <w:pPr>
        <w:spacing w:after="120" w:line="240" w:lineRule="auto"/>
        <w:jc w:val="both"/>
        <w:rPr>
          <w:rFonts w:cstheme="minorHAnsi"/>
          <w:b/>
          <w:bCs/>
          <w:color w:val="1F497D" w:themeColor="text2"/>
          <w:sz w:val="24"/>
          <w:szCs w:val="24"/>
          <w:lang w:val="sl-SI"/>
        </w:rPr>
      </w:pPr>
      <w:r w:rsidRPr="00A52510">
        <w:rPr>
          <w:rFonts w:cstheme="minorHAnsi"/>
          <w:b/>
          <w:bCs/>
          <w:color w:val="1F497D" w:themeColor="text2"/>
          <w:sz w:val="24"/>
          <w:szCs w:val="24"/>
          <w:lang w:val="sl-SI"/>
        </w:rPr>
        <w:t>Razvojne ambicije in umetna inteligenca ločujejo podjetniški prostor</w:t>
      </w:r>
    </w:p>
    <w:p w14:paraId="3E938422" w14:textId="77777777" w:rsidR="008341ED" w:rsidRPr="00A52510" w:rsidRDefault="008341ED" w:rsidP="008341ED">
      <w:pPr>
        <w:spacing w:after="120" w:line="240" w:lineRule="auto"/>
        <w:jc w:val="both"/>
        <w:rPr>
          <w:rFonts w:cstheme="minorHAnsi"/>
          <w:sz w:val="24"/>
          <w:szCs w:val="24"/>
          <w:lang w:val="sl-SI"/>
        </w:rPr>
      </w:pPr>
      <w:r w:rsidRPr="00A52510">
        <w:rPr>
          <w:rFonts w:cstheme="minorHAnsi"/>
          <w:sz w:val="24"/>
          <w:szCs w:val="24"/>
          <w:lang w:val="sl-SI"/>
        </w:rPr>
        <w:t>Letošnja raziskava kaže, da se slovenski podjetniški prostor vse bolj diferencira. Del podjetnikov ostaja usmerjen v stabilnost, samozaposlitev ali ohranjanje obstoječega poslovanja, drugi del pa izkazuje izrazitejše ambicije po rasti, zaposlovanju, internacionalizaciji in tehnološkem razvoju.</w:t>
      </w:r>
    </w:p>
    <w:p w14:paraId="3C40EC1C" w14:textId="77777777" w:rsidR="008341ED" w:rsidRDefault="008341ED" w:rsidP="008341ED">
      <w:pPr>
        <w:spacing w:after="120" w:line="240" w:lineRule="auto"/>
        <w:jc w:val="both"/>
        <w:rPr>
          <w:rFonts w:cstheme="minorHAnsi"/>
          <w:sz w:val="24"/>
          <w:szCs w:val="24"/>
          <w:lang w:val="sl-SI"/>
        </w:rPr>
      </w:pPr>
      <w:r w:rsidRPr="00A52510">
        <w:rPr>
          <w:rFonts w:cstheme="minorHAnsi"/>
          <w:sz w:val="24"/>
          <w:szCs w:val="24"/>
          <w:lang w:val="sl-SI"/>
        </w:rPr>
        <w:t xml:space="preserve">Med zgodnjimi podjetniki jih </w:t>
      </w:r>
      <w:r w:rsidRPr="00A52510">
        <w:rPr>
          <w:rFonts w:cstheme="minorHAnsi"/>
          <w:b/>
          <w:bCs/>
          <w:sz w:val="24"/>
          <w:szCs w:val="24"/>
          <w:lang w:val="sl-SI"/>
        </w:rPr>
        <w:t>29 %</w:t>
      </w:r>
      <w:r w:rsidRPr="00A52510">
        <w:rPr>
          <w:rFonts w:cstheme="minorHAnsi"/>
          <w:sz w:val="24"/>
          <w:szCs w:val="24"/>
          <w:lang w:val="sl-SI"/>
        </w:rPr>
        <w:t xml:space="preserve"> v prihodnjih letih ne načrtuje novih zaposlitev, medtem ko jih </w:t>
      </w:r>
      <w:r w:rsidRPr="00A52510">
        <w:rPr>
          <w:rFonts w:cstheme="minorHAnsi"/>
          <w:b/>
          <w:bCs/>
          <w:sz w:val="24"/>
          <w:szCs w:val="24"/>
          <w:lang w:val="sl-SI"/>
        </w:rPr>
        <w:t>36 %</w:t>
      </w:r>
      <w:r w:rsidRPr="00A52510">
        <w:rPr>
          <w:rFonts w:cstheme="minorHAnsi"/>
          <w:sz w:val="24"/>
          <w:szCs w:val="24"/>
          <w:lang w:val="sl-SI"/>
        </w:rPr>
        <w:t xml:space="preserve"> pričakuje šest ali več novih delovnih mest. Ta razlika ni pomembna le z vidika zaposlovanja, temveč tudi z vidika razvojnega potenciala slovenskega gospodarstva. Podjetniki z višjimi rastnimi ambicijami pogosteje posegajo po digitalnih tehnologijah in bolj prepoznavajo pomen umetne inteligence. Med podjetniki z najvišjimi rastnimi ambicijami jih </w:t>
      </w:r>
      <w:r w:rsidRPr="00A52510">
        <w:rPr>
          <w:rFonts w:cstheme="minorHAnsi"/>
          <w:b/>
          <w:bCs/>
          <w:sz w:val="24"/>
          <w:szCs w:val="24"/>
          <w:lang w:val="sl-SI"/>
        </w:rPr>
        <w:t>56 %</w:t>
      </w:r>
      <w:r w:rsidRPr="00A52510">
        <w:rPr>
          <w:rFonts w:cstheme="minorHAnsi"/>
          <w:sz w:val="24"/>
          <w:szCs w:val="24"/>
          <w:lang w:val="sl-SI"/>
        </w:rPr>
        <w:t xml:space="preserve"> ocenjuje umetno inteligenco kot zelo pomembno za prihodnji razvoj. </w:t>
      </w:r>
    </w:p>
    <w:p w14:paraId="1E3E1926" w14:textId="77777777" w:rsidR="008405C0" w:rsidRPr="00A52510" w:rsidRDefault="008405C0" w:rsidP="008341ED">
      <w:pPr>
        <w:spacing w:after="120" w:line="240" w:lineRule="auto"/>
        <w:jc w:val="both"/>
        <w:rPr>
          <w:rFonts w:cstheme="minorHAnsi"/>
          <w:sz w:val="24"/>
          <w:szCs w:val="24"/>
          <w:lang w:val="sl-SI"/>
        </w:rPr>
      </w:pPr>
    </w:p>
    <w:p w14:paraId="6E73257C" w14:textId="1EDA45EC" w:rsidR="00E254FC" w:rsidRDefault="00E254FC" w:rsidP="008341ED">
      <w:pPr>
        <w:spacing w:after="120" w:line="240" w:lineRule="auto"/>
        <w:jc w:val="both"/>
        <w:rPr>
          <w:rFonts w:cstheme="minorHAnsi"/>
          <w:sz w:val="24"/>
          <w:szCs w:val="24"/>
          <w:lang w:val="sl-SI"/>
        </w:rPr>
      </w:pPr>
      <w:r w:rsidRPr="00A52510">
        <w:rPr>
          <w:rFonts w:cstheme="minorHAnsi"/>
          <w:noProof/>
          <w:sz w:val="24"/>
          <w:szCs w:val="24"/>
          <w:lang w:val="sl-SI"/>
        </w:rPr>
        <w:drawing>
          <wp:inline distT="0" distB="0" distL="0" distR="0" wp14:anchorId="36B92E46" wp14:editId="577130B7">
            <wp:extent cx="5731510" cy="2303145"/>
            <wp:effectExtent l="0" t="0" r="2540" b="1905"/>
            <wp:docPr id="47705999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59998" name=""/>
                    <pic:cNvPicPr/>
                  </pic:nvPicPr>
                  <pic:blipFill>
                    <a:blip r:embed="rId13"/>
                    <a:stretch>
                      <a:fillRect/>
                    </a:stretch>
                  </pic:blipFill>
                  <pic:spPr>
                    <a:xfrm>
                      <a:off x="0" y="0"/>
                      <a:ext cx="5731510" cy="2303145"/>
                    </a:xfrm>
                    <a:prstGeom prst="rect">
                      <a:avLst/>
                    </a:prstGeom>
                  </pic:spPr>
                </pic:pic>
              </a:graphicData>
            </a:graphic>
          </wp:inline>
        </w:drawing>
      </w:r>
    </w:p>
    <w:p w14:paraId="6BA17AD1" w14:textId="77777777" w:rsidR="008405C0" w:rsidRPr="00A52510" w:rsidRDefault="008405C0" w:rsidP="008341ED">
      <w:pPr>
        <w:spacing w:after="120" w:line="240" w:lineRule="auto"/>
        <w:jc w:val="both"/>
        <w:rPr>
          <w:rFonts w:cstheme="minorHAnsi"/>
          <w:sz w:val="24"/>
          <w:szCs w:val="24"/>
          <w:lang w:val="sl-SI"/>
        </w:rPr>
      </w:pPr>
    </w:p>
    <w:p w14:paraId="21AECD42" w14:textId="77777777" w:rsidR="008341ED" w:rsidRPr="00A52510" w:rsidRDefault="008341ED" w:rsidP="008341ED">
      <w:pPr>
        <w:spacing w:after="120" w:line="240" w:lineRule="auto"/>
        <w:jc w:val="both"/>
        <w:rPr>
          <w:rFonts w:cstheme="minorHAnsi"/>
          <w:sz w:val="24"/>
          <w:szCs w:val="24"/>
          <w:lang w:val="sl-SI"/>
        </w:rPr>
      </w:pPr>
      <w:r w:rsidRPr="00A52510">
        <w:rPr>
          <w:rFonts w:cstheme="minorHAnsi"/>
          <w:sz w:val="24"/>
          <w:szCs w:val="24"/>
          <w:lang w:val="sl-SI"/>
        </w:rPr>
        <w:t>To kaže, da umetna inteligenca v slovenskem podjetništvu ni več zgolj tehnološka tema, temveč postaja vprašanje poslovnega modela, produktivnosti, inoviranja in konkurenčnosti. Pri delu podjetnikov ostaja tehnologija predvsem orodje za učinkovitost, pri bolj ambicioznih pa postaja strateški vzvod za rast in diferenciacijo.</w:t>
      </w:r>
    </w:p>
    <w:p w14:paraId="4A0523B5" w14:textId="77777777" w:rsidR="008341ED" w:rsidRPr="00A52510" w:rsidRDefault="008341ED" w:rsidP="008341ED">
      <w:pPr>
        <w:spacing w:after="120" w:line="240" w:lineRule="auto"/>
        <w:jc w:val="both"/>
        <w:rPr>
          <w:rFonts w:cstheme="minorHAnsi"/>
          <w:i/>
          <w:iCs/>
          <w:color w:val="1F497D" w:themeColor="text2"/>
          <w:sz w:val="24"/>
          <w:szCs w:val="24"/>
          <w:lang w:val="sl-SI"/>
        </w:rPr>
      </w:pPr>
      <w:r w:rsidRPr="00A52510">
        <w:rPr>
          <w:rFonts w:cstheme="minorHAnsi"/>
          <w:i/>
          <w:iCs/>
          <w:color w:val="1F497D" w:themeColor="text2"/>
          <w:sz w:val="24"/>
          <w:szCs w:val="24"/>
          <w:lang w:val="sl-SI"/>
        </w:rPr>
        <w:lastRenderedPageBreak/>
        <w:t xml:space="preserve">Mag. Matej Rus dodaja: »Podjetniški prostor v Sloveniji se vse bolj diferencira glede razvojnih ambicij, tehnoloških pričakovanj in sposobnosti izkoriščanja digitalnih priložnosti. Podjetništvo se polarizira med podjetniki, usmerjenimi v stabilnost in samozaposlitev, ter tistimi z izrazitimi ambicijami po rasti, zaposlovanju in tehnološkem razvoju. Umetna inteligenca ob tem deluje kot pomembna ločnica: podjetniki z višjimi ambicijami po rasti jo prepoznavajo kot strateško tehnologijo, medtem ko je podjetja brez razvojnih načrtov večinoma ne zaznavajo kot relevantne.« </w:t>
      </w:r>
    </w:p>
    <w:p w14:paraId="601B27EC" w14:textId="77777777" w:rsidR="008341ED" w:rsidRPr="00A52510" w:rsidRDefault="008341ED" w:rsidP="008341ED">
      <w:pPr>
        <w:spacing w:after="120" w:line="240" w:lineRule="auto"/>
        <w:jc w:val="both"/>
        <w:rPr>
          <w:rFonts w:cstheme="minorHAnsi"/>
          <w:b/>
          <w:bCs/>
          <w:sz w:val="24"/>
          <w:szCs w:val="24"/>
          <w:lang w:val="sl-SI"/>
        </w:rPr>
      </w:pPr>
    </w:p>
    <w:p w14:paraId="4237C293" w14:textId="44B49DEB" w:rsidR="008341ED" w:rsidRPr="00A52510" w:rsidRDefault="008341ED" w:rsidP="008341ED">
      <w:pPr>
        <w:spacing w:after="120" w:line="240" w:lineRule="auto"/>
        <w:jc w:val="both"/>
        <w:rPr>
          <w:rFonts w:cstheme="minorHAnsi"/>
          <w:b/>
          <w:bCs/>
          <w:color w:val="1F497D" w:themeColor="text2"/>
          <w:sz w:val="24"/>
          <w:szCs w:val="24"/>
          <w:lang w:val="sl-SI"/>
        </w:rPr>
      </w:pPr>
      <w:r w:rsidRPr="00A52510">
        <w:rPr>
          <w:rFonts w:cstheme="minorHAnsi"/>
          <w:b/>
          <w:bCs/>
          <w:color w:val="1F497D" w:themeColor="text2"/>
          <w:sz w:val="24"/>
          <w:szCs w:val="24"/>
          <w:lang w:val="sl-SI"/>
        </w:rPr>
        <w:t>Podjetniški ekosistem zaostaja za primerjalnimi okolji</w:t>
      </w:r>
    </w:p>
    <w:p w14:paraId="703069DA" w14:textId="77777777" w:rsidR="008341ED" w:rsidRPr="00A52510" w:rsidRDefault="008341ED" w:rsidP="008341ED">
      <w:pPr>
        <w:spacing w:after="120" w:line="240" w:lineRule="auto"/>
        <w:jc w:val="both"/>
        <w:rPr>
          <w:rFonts w:cstheme="minorHAnsi"/>
          <w:sz w:val="24"/>
          <w:szCs w:val="24"/>
          <w:lang w:val="sl-SI"/>
        </w:rPr>
      </w:pPr>
      <w:r w:rsidRPr="00A52510">
        <w:rPr>
          <w:rFonts w:cstheme="minorHAnsi"/>
          <w:sz w:val="24"/>
          <w:szCs w:val="24"/>
          <w:lang w:val="sl-SI"/>
        </w:rPr>
        <w:t xml:space="preserve">Raziskava GEM 2025 ponovno opozarja, da kakovost podjetniškega ekosistema pomembno vpliva na to, ali se podjetniški potencial pretvori v dejansko aktivnost, rast in inovacije. Slovenija po indeksu nacionalnega podjetniškega konteksta </w:t>
      </w:r>
      <w:r w:rsidRPr="00A52510">
        <w:rPr>
          <w:rFonts w:cstheme="minorHAnsi"/>
          <w:b/>
          <w:bCs/>
          <w:sz w:val="24"/>
          <w:szCs w:val="24"/>
          <w:lang w:val="sl-SI"/>
        </w:rPr>
        <w:t>NECI</w:t>
      </w:r>
      <w:r w:rsidRPr="00A52510">
        <w:rPr>
          <w:rFonts w:cstheme="minorHAnsi"/>
          <w:sz w:val="24"/>
          <w:szCs w:val="24"/>
          <w:lang w:val="sl-SI"/>
        </w:rPr>
        <w:t xml:space="preserve"> dosega vrednost </w:t>
      </w:r>
      <w:r w:rsidRPr="00A52510">
        <w:rPr>
          <w:rFonts w:cstheme="minorHAnsi"/>
          <w:b/>
          <w:bCs/>
          <w:sz w:val="24"/>
          <w:szCs w:val="24"/>
          <w:lang w:val="sl-SI"/>
        </w:rPr>
        <w:t>4,07</w:t>
      </w:r>
      <w:r w:rsidRPr="00A52510">
        <w:rPr>
          <w:rFonts w:cstheme="minorHAnsi"/>
          <w:sz w:val="24"/>
          <w:szCs w:val="24"/>
          <w:lang w:val="sl-SI"/>
        </w:rPr>
        <w:t xml:space="preserve"> na lestvici od 0 do 10, kar je pod povprečjem evropskih držav GEM (</w:t>
      </w:r>
      <w:r w:rsidRPr="00A52510">
        <w:rPr>
          <w:rFonts w:cstheme="minorHAnsi"/>
          <w:b/>
          <w:bCs/>
          <w:sz w:val="24"/>
          <w:szCs w:val="24"/>
          <w:lang w:val="sl-SI"/>
        </w:rPr>
        <w:t>4,76</w:t>
      </w:r>
      <w:r w:rsidRPr="00A52510">
        <w:rPr>
          <w:rFonts w:cstheme="minorHAnsi"/>
          <w:sz w:val="24"/>
          <w:szCs w:val="24"/>
          <w:lang w:val="sl-SI"/>
        </w:rPr>
        <w:t>) in pod povprečjem vseh držav GEM (</w:t>
      </w:r>
      <w:r w:rsidRPr="00A52510">
        <w:rPr>
          <w:rFonts w:cstheme="minorHAnsi"/>
          <w:b/>
          <w:bCs/>
          <w:sz w:val="24"/>
          <w:szCs w:val="24"/>
          <w:lang w:val="sl-SI"/>
        </w:rPr>
        <w:t>4,75</w:t>
      </w:r>
      <w:r w:rsidRPr="00A52510">
        <w:rPr>
          <w:rFonts w:cstheme="minorHAnsi"/>
          <w:sz w:val="24"/>
          <w:szCs w:val="24"/>
          <w:lang w:val="sl-SI"/>
        </w:rPr>
        <w:t xml:space="preserve">). </w:t>
      </w:r>
    </w:p>
    <w:p w14:paraId="0C59B1FB" w14:textId="42675A93" w:rsidR="008341ED" w:rsidRPr="00A52510" w:rsidRDefault="008341ED" w:rsidP="008341ED">
      <w:pPr>
        <w:spacing w:after="120" w:line="240" w:lineRule="auto"/>
        <w:jc w:val="both"/>
        <w:rPr>
          <w:rFonts w:cstheme="minorHAnsi"/>
          <w:sz w:val="24"/>
          <w:szCs w:val="24"/>
          <w:lang w:val="sl-SI"/>
        </w:rPr>
      </w:pPr>
      <w:r w:rsidRPr="00A52510">
        <w:rPr>
          <w:rFonts w:cstheme="minorHAnsi"/>
          <w:sz w:val="24"/>
          <w:szCs w:val="24"/>
          <w:lang w:val="sl-SI"/>
        </w:rPr>
        <w:t>Med najšibkejšimi področji</w:t>
      </w:r>
      <w:r w:rsidR="008F35FC">
        <w:rPr>
          <w:rFonts w:cstheme="minorHAnsi"/>
          <w:sz w:val="24"/>
          <w:szCs w:val="24"/>
          <w:lang w:val="sl-SI"/>
        </w:rPr>
        <w:t xml:space="preserve"> po mnenju nacionalnih izvedencev</w:t>
      </w:r>
      <w:r w:rsidRPr="00A52510">
        <w:rPr>
          <w:rFonts w:cstheme="minorHAnsi"/>
          <w:sz w:val="24"/>
          <w:szCs w:val="24"/>
          <w:lang w:val="sl-SI"/>
        </w:rPr>
        <w:t xml:space="preserve"> ostajajo </w:t>
      </w:r>
      <w:r w:rsidRPr="00A52510">
        <w:rPr>
          <w:rFonts w:cstheme="minorHAnsi"/>
          <w:b/>
          <w:bCs/>
          <w:sz w:val="24"/>
          <w:szCs w:val="24"/>
          <w:lang w:val="sl-SI"/>
        </w:rPr>
        <w:t>regulativa, podjetniško izobraževanje ter kulturne in družbene norme</w:t>
      </w:r>
      <w:r w:rsidRPr="00A52510">
        <w:rPr>
          <w:rFonts w:cstheme="minorHAnsi"/>
          <w:sz w:val="24"/>
          <w:szCs w:val="24"/>
          <w:lang w:val="sl-SI"/>
        </w:rPr>
        <w:t xml:space="preserve">, medtem ko se kot relativna prednost kaže </w:t>
      </w:r>
      <w:r w:rsidRPr="00A52510">
        <w:rPr>
          <w:rFonts w:cstheme="minorHAnsi"/>
          <w:b/>
          <w:bCs/>
          <w:sz w:val="24"/>
          <w:szCs w:val="24"/>
          <w:lang w:val="sl-SI"/>
        </w:rPr>
        <w:t>dinamičnost notranjega trga</w:t>
      </w:r>
      <w:r w:rsidRPr="00A52510">
        <w:rPr>
          <w:rFonts w:cstheme="minorHAnsi"/>
          <w:sz w:val="24"/>
          <w:szCs w:val="24"/>
          <w:lang w:val="sl-SI"/>
        </w:rPr>
        <w:t>. Podjetniški ekosistem ima torej določene operativne prednosti, vendar ostaja premalo povezan in premalo učinkovit pri podpori rasti, inovacijam, tehnološkemu preboju in internacionalizaciji.</w:t>
      </w:r>
    </w:p>
    <w:p w14:paraId="0D890A39" w14:textId="69A4EF52" w:rsidR="009F49C9" w:rsidRDefault="008341ED" w:rsidP="00DC4F5D">
      <w:pPr>
        <w:spacing w:after="120" w:line="240" w:lineRule="auto"/>
        <w:jc w:val="both"/>
        <w:rPr>
          <w:rFonts w:cstheme="minorHAnsi"/>
          <w:sz w:val="24"/>
          <w:szCs w:val="24"/>
          <w:lang w:val="sl-SI"/>
        </w:rPr>
      </w:pPr>
      <w:r w:rsidRPr="00A52510">
        <w:rPr>
          <w:rFonts w:cstheme="minorHAnsi"/>
          <w:sz w:val="24"/>
          <w:szCs w:val="24"/>
          <w:lang w:val="sl-SI"/>
        </w:rPr>
        <w:t xml:space="preserve">Ključno sporočilo raziskave GEM Slovenija 2025 je zato jasno: Slovenija ima podjetniški potencial, kompetence in ambicije, vendar razvojni preboj zahteva učinkovitejši prehod od zaznav in sposobnosti k dejanski podjetniški aktivnosti, rasti in inovacijam. Stabilnost obstoječih podjetij je prednost, vendar sama po sebi ne zadostuje. </w:t>
      </w:r>
      <w:r w:rsidR="008F35FC" w:rsidRPr="008F35FC">
        <w:rPr>
          <w:rFonts w:cstheme="minorHAnsi"/>
          <w:sz w:val="24"/>
          <w:szCs w:val="24"/>
          <w:lang w:val="sl-SI"/>
        </w:rPr>
        <w:t>Potrebna je močnejša regeneracija podjetniške baze, več ambicioznih novih podjetij, boljši pogoji za rast ter bolj usklajena podpora tehnološkemu razvoju, trajnostnim praksam in prodoru na tuje trge.</w:t>
      </w:r>
    </w:p>
    <w:p w14:paraId="398D4C14" w14:textId="77777777" w:rsidR="008F35FC" w:rsidRPr="00A52510" w:rsidRDefault="008F35FC" w:rsidP="00DC4F5D">
      <w:pPr>
        <w:spacing w:after="120" w:line="240" w:lineRule="auto"/>
        <w:jc w:val="both"/>
        <w:rPr>
          <w:rFonts w:cstheme="minorHAnsi"/>
          <w:sz w:val="24"/>
          <w:szCs w:val="24"/>
          <w:lang w:val="sl-SI"/>
        </w:rPr>
      </w:pPr>
    </w:p>
    <w:p w14:paraId="2E4BC56C" w14:textId="07ED19FA" w:rsidR="00A93DA6" w:rsidRPr="00A52510" w:rsidRDefault="00264530" w:rsidP="00A93DA6">
      <w:pPr>
        <w:spacing w:after="240" w:line="257" w:lineRule="auto"/>
        <w:jc w:val="center"/>
        <w:rPr>
          <w:rFonts w:eastAsia="Calibri"/>
          <w:lang w:val="sl-SI"/>
        </w:rPr>
      </w:pPr>
      <w:r w:rsidRPr="00A52510">
        <w:rPr>
          <w:rFonts w:eastAsia="Calibri"/>
          <w:lang w:val="sl-SI"/>
        </w:rPr>
        <w:t>*   *   *   *   *</w:t>
      </w:r>
    </w:p>
    <w:p w14:paraId="362F4913" w14:textId="77777777" w:rsidR="00E30185" w:rsidRPr="00A52510" w:rsidRDefault="00E30185" w:rsidP="00A86DA6">
      <w:pPr>
        <w:shd w:val="clear" w:color="auto" w:fill="E7E1DA"/>
        <w:spacing w:after="160" w:line="256" w:lineRule="auto"/>
        <w:jc w:val="both"/>
        <w:rPr>
          <w:rFonts w:eastAsia="Calibri" w:cs="Calibri"/>
          <w:b/>
          <w:color w:val="215868" w:themeColor="accent5" w:themeShade="80"/>
          <w:sz w:val="24"/>
          <w:szCs w:val="24"/>
          <w:lang w:val="sl-SI"/>
        </w:rPr>
      </w:pPr>
      <w:r w:rsidRPr="00A52510">
        <w:rPr>
          <w:rFonts w:eastAsia="Calibri" w:cs="Calibri"/>
          <w:b/>
          <w:color w:val="215868" w:themeColor="accent5" w:themeShade="80"/>
          <w:sz w:val="24"/>
          <w:szCs w:val="24"/>
          <w:lang w:val="sl-SI"/>
        </w:rPr>
        <w:t>O Globalnem podjetniškem monitorju</w:t>
      </w:r>
    </w:p>
    <w:p w14:paraId="4F1329F4" w14:textId="77777777" w:rsidR="00E30185" w:rsidRPr="00A52510" w:rsidRDefault="00E30185" w:rsidP="00A86DA6">
      <w:pPr>
        <w:shd w:val="clear" w:color="auto" w:fill="E7E1DA"/>
        <w:spacing w:after="160" w:line="256" w:lineRule="auto"/>
        <w:jc w:val="both"/>
        <w:rPr>
          <w:rFonts w:eastAsia="Calibri" w:cs="Calibri"/>
          <w:sz w:val="20"/>
          <w:lang w:val="sl-SI"/>
        </w:rPr>
      </w:pPr>
      <w:r w:rsidRPr="00A52510">
        <w:rPr>
          <w:rFonts w:eastAsia="Calibri" w:cs="Calibri"/>
          <w:sz w:val="20"/>
          <w:lang w:val="sl-SI"/>
        </w:rPr>
        <w:t xml:space="preserve">Global </w:t>
      </w:r>
      <w:proofErr w:type="spellStart"/>
      <w:r w:rsidRPr="00A52510">
        <w:rPr>
          <w:rFonts w:eastAsia="Calibri" w:cs="Calibri"/>
          <w:sz w:val="20"/>
          <w:lang w:val="sl-SI"/>
        </w:rPr>
        <w:t>Entrepreneurship</w:t>
      </w:r>
      <w:proofErr w:type="spellEnd"/>
      <w:r w:rsidRPr="00A52510">
        <w:rPr>
          <w:rFonts w:eastAsia="Calibri" w:cs="Calibri"/>
          <w:sz w:val="20"/>
          <w:lang w:val="sl-SI"/>
        </w:rPr>
        <w:t xml:space="preserve"> Monitor (GEM) je največji in najbolj razvit raziskovalni program za podjetništvo na svetu. Leta 1999 sta ga skupaj začela </w:t>
      </w:r>
      <w:proofErr w:type="spellStart"/>
      <w:r w:rsidRPr="00A52510">
        <w:rPr>
          <w:rFonts w:eastAsia="Calibri" w:cs="Calibri"/>
          <w:sz w:val="20"/>
          <w:lang w:val="sl-SI"/>
        </w:rPr>
        <w:t>Babson</w:t>
      </w:r>
      <w:proofErr w:type="spellEnd"/>
      <w:r w:rsidRPr="00A52510">
        <w:rPr>
          <w:rFonts w:eastAsia="Calibri" w:cs="Calibri"/>
          <w:sz w:val="20"/>
          <w:lang w:val="sl-SI"/>
        </w:rPr>
        <w:t xml:space="preserve"> </w:t>
      </w:r>
      <w:proofErr w:type="spellStart"/>
      <w:r w:rsidRPr="00A52510">
        <w:rPr>
          <w:rFonts w:eastAsia="Calibri" w:cs="Calibri"/>
          <w:sz w:val="20"/>
          <w:lang w:val="sl-SI"/>
        </w:rPr>
        <w:t>College</w:t>
      </w:r>
      <w:proofErr w:type="spellEnd"/>
      <w:r w:rsidRPr="00A52510">
        <w:rPr>
          <w:rFonts w:eastAsia="Calibri" w:cs="Calibri"/>
          <w:sz w:val="20"/>
          <w:lang w:val="sl-SI"/>
        </w:rPr>
        <w:t xml:space="preserve"> in London Business </w:t>
      </w:r>
      <w:proofErr w:type="spellStart"/>
      <w:r w:rsidRPr="00A52510">
        <w:rPr>
          <w:rFonts w:eastAsia="Calibri" w:cs="Calibri"/>
          <w:sz w:val="20"/>
          <w:lang w:val="sl-SI"/>
        </w:rPr>
        <w:t>School</w:t>
      </w:r>
      <w:proofErr w:type="spellEnd"/>
      <w:r w:rsidRPr="00A52510">
        <w:rPr>
          <w:rFonts w:eastAsia="Calibri" w:cs="Calibri"/>
          <w:sz w:val="20"/>
          <w:lang w:val="sl-SI"/>
        </w:rPr>
        <w:t xml:space="preserve">, Slovenija pa se je raziskavi priključila leta 2002. GEM je enkraten predvsem zato, ker v nasprotju z drugimi podatkovnimi bazami, ki merijo značilnosti manjših in novih podjetij, proučuje obnašanje posameznikov v procesu nastajanja in vodenja podjetja. Proučuje zgodnje faze podjetniške aktivnosti, ustaljena podjetja in dejavnike, ki vplivajo na rojevanje novih podjetij in išče odgovore na vprašanja, kako podjetna je Slovenija, kam se na področju podjetništva umeščamo v svetovnem merilu ter kako bi podjetništvo lahko pospešili. </w:t>
      </w:r>
    </w:p>
    <w:p w14:paraId="0B304229" w14:textId="6910893F" w:rsidR="001948DC" w:rsidRPr="00A52510" w:rsidRDefault="00E30185" w:rsidP="00A86DA6">
      <w:pPr>
        <w:shd w:val="clear" w:color="auto" w:fill="E7E1DA"/>
        <w:spacing w:after="160" w:line="256" w:lineRule="auto"/>
        <w:jc w:val="both"/>
        <w:rPr>
          <w:rFonts w:eastAsia="Calibri" w:cs="Calibri"/>
          <w:sz w:val="20"/>
          <w:lang w:val="sl-SI"/>
        </w:rPr>
      </w:pPr>
      <w:r w:rsidRPr="00A52510">
        <w:rPr>
          <w:rFonts w:eastAsia="Calibri" w:cs="Calibri"/>
          <w:sz w:val="20"/>
          <w:lang w:val="sl-SI"/>
        </w:rPr>
        <w:t xml:space="preserve">Nosilec slovenskega dela raziskave je </w:t>
      </w:r>
      <w:r w:rsidRPr="00A52510">
        <w:rPr>
          <w:rFonts w:eastAsia="Calibri" w:cs="Calibri"/>
          <w:b/>
          <w:bCs/>
          <w:sz w:val="20"/>
          <w:lang w:val="sl-SI"/>
        </w:rPr>
        <w:t>Inštitut za podjetništvo in management malih podjetij na Ekonomsko-poslovni fakulteti Univerze v Mariboru</w:t>
      </w:r>
      <w:r w:rsidRPr="00A52510">
        <w:rPr>
          <w:rFonts w:eastAsia="Calibri" w:cs="Calibri"/>
          <w:sz w:val="20"/>
          <w:lang w:val="sl-SI"/>
        </w:rPr>
        <w:t>, ki skupaj z raziskovalci nacionalnih timov drugih držav tudi aktivno so</w:t>
      </w:r>
      <w:r w:rsidR="005C341A" w:rsidRPr="00A52510">
        <w:rPr>
          <w:rFonts w:eastAsia="Calibri" w:cs="Calibri"/>
          <w:sz w:val="20"/>
          <w:lang w:val="sl-SI"/>
        </w:rPr>
        <w:t>ustvarja</w:t>
      </w:r>
      <w:r w:rsidRPr="00A52510">
        <w:rPr>
          <w:rFonts w:eastAsia="Calibri" w:cs="Calibri"/>
          <w:sz w:val="20"/>
          <w:lang w:val="sl-SI"/>
        </w:rPr>
        <w:t xml:space="preserve"> nadaljnji razvoj vsebine in metodologije raziskave. Slovenski raziskovalni tim sestavljajo</w:t>
      </w:r>
      <w:r w:rsidR="001A5E06" w:rsidRPr="00A52510">
        <w:rPr>
          <w:rFonts w:eastAsia="Calibri" w:cs="Calibri"/>
          <w:sz w:val="20"/>
          <w:lang w:val="sl-SI"/>
        </w:rPr>
        <w:t xml:space="preserve"> </w:t>
      </w:r>
      <w:r w:rsidR="00B17911" w:rsidRPr="00A52510">
        <w:rPr>
          <w:rFonts w:eastAsia="Calibri" w:cs="Calibri"/>
          <w:sz w:val="20"/>
          <w:lang w:val="sl-SI"/>
        </w:rPr>
        <w:t>prof. dr. Karin Širec</w:t>
      </w:r>
      <w:r w:rsidR="001A5E06" w:rsidRPr="00A52510">
        <w:rPr>
          <w:rFonts w:eastAsia="Calibri" w:cs="Calibri"/>
          <w:sz w:val="20"/>
          <w:lang w:val="sl-SI"/>
        </w:rPr>
        <w:t xml:space="preserve"> (vodja)</w:t>
      </w:r>
      <w:r w:rsidR="00B17911" w:rsidRPr="00A52510">
        <w:rPr>
          <w:rFonts w:eastAsia="Calibri" w:cs="Calibri"/>
          <w:sz w:val="20"/>
          <w:lang w:val="sl-SI"/>
        </w:rPr>
        <w:t xml:space="preserve">, </w:t>
      </w:r>
      <w:r w:rsidRPr="00A52510">
        <w:rPr>
          <w:rFonts w:eastAsia="Calibri" w:cs="Calibri"/>
          <w:sz w:val="20"/>
          <w:lang w:val="sl-SI"/>
        </w:rPr>
        <w:t xml:space="preserve">prof. dr. Polona Tominc, </w:t>
      </w:r>
      <w:r w:rsidR="00B17911" w:rsidRPr="00A52510">
        <w:rPr>
          <w:rFonts w:eastAsia="Calibri" w:cs="Calibri"/>
          <w:sz w:val="20"/>
          <w:lang w:val="sl-SI"/>
        </w:rPr>
        <w:t>prof</w:t>
      </w:r>
      <w:r w:rsidRPr="00A52510">
        <w:rPr>
          <w:rFonts w:eastAsia="Calibri" w:cs="Calibri"/>
          <w:sz w:val="20"/>
          <w:lang w:val="sl-SI"/>
        </w:rPr>
        <w:t>. dr. Katja Crnogaj, prof. dr. Barbara Bradač Hojnik</w:t>
      </w:r>
      <w:r w:rsidR="00E81E6E" w:rsidRPr="00A52510">
        <w:rPr>
          <w:rFonts w:eastAsia="Calibri" w:cs="Calibri"/>
          <w:sz w:val="20"/>
          <w:lang w:val="sl-SI"/>
        </w:rPr>
        <w:t>,</w:t>
      </w:r>
      <w:r w:rsidR="00281D3E" w:rsidRPr="00A52510">
        <w:rPr>
          <w:rFonts w:eastAsia="Calibri" w:cs="Calibri"/>
          <w:sz w:val="20"/>
          <w:lang w:val="sl-SI"/>
        </w:rPr>
        <w:t xml:space="preserve"> </w:t>
      </w:r>
      <w:r w:rsidRPr="00A52510">
        <w:rPr>
          <w:rFonts w:eastAsia="Calibri" w:cs="Calibri"/>
          <w:sz w:val="20"/>
          <w:lang w:val="sl-SI"/>
        </w:rPr>
        <w:t>mag. Matej Rus</w:t>
      </w:r>
      <w:r w:rsidR="000D2234" w:rsidRPr="00A52510">
        <w:rPr>
          <w:rFonts w:eastAsia="Calibri" w:cs="Calibri"/>
          <w:sz w:val="20"/>
          <w:lang w:val="sl-SI"/>
        </w:rPr>
        <w:t>, Samuel Plečko</w:t>
      </w:r>
      <w:r w:rsidR="00E81E6E" w:rsidRPr="00A52510">
        <w:rPr>
          <w:rFonts w:eastAsia="Calibri" w:cs="Calibri"/>
          <w:sz w:val="20"/>
          <w:lang w:val="sl-SI"/>
        </w:rPr>
        <w:t xml:space="preserve"> in zasl. prof. dr. Miroslav Rebernik</w:t>
      </w:r>
      <w:r w:rsidRPr="00A52510">
        <w:rPr>
          <w:rFonts w:eastAsia="Calibri" w:cs="Calibri"/>
          <w:sz w:val="20"/>
          <w:lang w:val="sl-SI"/>
        </w:rPr>
        <w:t xml:space="preserve">. </w:t>
      </w:r>
    </w:p>
    <w:p w14:paraId="26387B2C" w14:textId="292CA61D" w:rsidR="00E30185" w:rsidRPr="00A52510" w:rsidRDefault="00DA4824" w:rsidP="00A86DA6">
      <w:pPr>
        <w:shd w:val="clear" w:color="auto" w:fill="E7E1DA"/>
        <w:spacing w:after="160" w:line="256" w:lineRule="auto"/>
        <w:jc w:val="both"/>
        <w:rPr>
          <w:rFonts w:eastAsia="Calibri" w:cs="Calibri"/>
          <w:sz w:val="20"/>
          <w:lang w:val="sl-SI"/>
        </w:rPr>
      </w:pPr>
      <w:r w:rsidRPr="00A52510">
        <w:rPr>
          <w:rFonts w:eastAsia="Calibri" w:cs="Calibri"/>
          <w:sz w:val="20"/>
          <w:lang w:val="sl-SI"/>
        </w:rPr>
        <w:t xml:space="preserve">Sponzorji raziskave GEM 2025 so bili </w:t>
      </w:r>
      <w:proofErr w:type="spellStart"/>
      <w:r w:rsidRPr="00A52510">
        <w:rPr>
          <w:rFonts w:eastAsia="Calibri" w:cs="Calibri"/>
          <w:sz w:val="20"/>
          <w:lang w:val="sl-SI"/>
        </w:rPr>
        <w:t>Cartier</w:t>
      </w:r>
      <w:proofErr w:type="spellEnd"/>
      <w:r w:rsidRPr="00A52510">
        <w:rPr>
          <w:rFonts w:eastAsia="Calibri" w:cs="Calibri"/>
          <w:sz w:val="20"/>
          <w:lang w:val="sl-SI"/>
        </w:rPr>
        <w:t xml:space="preserve"> </w:t>
      </w:r>
      <w:proofErr w:type="spellStart"/>
      <w:r w:rsidRPr="00A52510">
        <w:rPr>
          <w:rFonts w:eastAsia="Calibri" w:cs="Calibri"/>
          <w:sz w:val="20"/>
          <w:lang w:val="sl-SI"/>
        </w:rPr>
        <w:t>Women’s</w:t>
      </w:r>
      <w:proofErr w:type="spellEnd"/>
      <w:r w:rsidRPr="00A52510">
        <w:rPr>
          <w:rFonts w:eastAsia="Calibri" w:cs="Calibri"/>
          <w:sz w:val="20"/>
          <w:lang w:val="sl-SI"/>
        </w:rPr>
        <w:t xml:space="preserve"> </w:t>
      </w:r>
      <w:proofErr w:type="spellStart"/>
      <w:r w:rsidRPr="00A52510">
        <w:rPr>
          <w:rFonts w:eastAsia="Calibri" w:cs="Calibri"/>
          <w:sz w:val="20"/>
          <w:lang w:val="sl-SI"/>
        </w:rPr>
        <w:t>Initiative</w:t>
      </w:r>
      <w:proofErr w:type="spellEnd"/>
      <w:r w:rsidRPr="00A52510">
        <w:rPr>
          <w:rFonts w:eastAsia="Calibri" w:cs="Calibri"/>
          <w:sz w:val="20"/>
          <w:lang w:val="sl-SI"/>
        </w:rPr>
        <w:t xml:space="preserve">, </w:t>
      </w:r>
      <w:proofErr w:type="spellStart"/>
      <w:r w:rsidRPr="00A52510">
        <w:rPr>
          <w:rFonts w:eastAsia="Calibri" w:cs="Calibri"/>
          <w:sz w:val="20"/>
          <w:lang w:val="sl-SI"/>
        </w:rPr>
        <w:t>School</w:t>
      </w:r>
      <w:proofErr w:type="spellEnd"/>
      <w:r w:rsidRPr="00A52510">
        <w:rPr>
          <w:rFonts w:eastAsia="Calibri" w:cs="Calibri"/>
          <w:sz w:val="20"/>
          <w:lang w:val="sl-SI"/>
        </w:rPr>
        <w:t xml:space="preserve"> </w:t>
      </w:r>
      <w:proofErr w:type="spellStart"/>
      <w:r w:rsidRPr="00A52510">
        <w:rPr>
          <w:rFonts w:eastAsia="Calibri" w:cs="Calibri"/>
          <w:sz w:val="20"/>
          <w:lang w:val="sl-SI"/>
        </w:rPr>
        <w:t>of</w:t>
      </w:r>
      <w:proofErr w:type="spellEnd"/>
      <w:r w:rsidRPr="00A52510">
        <w:rPr>
          <w:rFonts w:eastAsia="Calibri" w:cs="Calibri"/>
          <w:sz w:val="20"/>
          <w:lang w:val="sl-SI"/>
        </w:rPr>
        <w:t xml:space="preserve"> Management </w:t>
      </w:r>
      <w:proofErr w:type="spellStart"/>
      <w:r w:rsidRPr="00A52510">
        <w:rPr>
          <w:rFonts w:eastAsia="Calibri" w:cs="Calibri"/>
          <w:sz w:val="20"/>
          <w:lang w:val="sl-SI"/>
        </w:rPr>
        <w:t>Fribourg</w:t>
      </w:r>
      <w:proofErr w:type="spellEnd"/>
      <w:r w:rsidRPr="00A52510">
        <w:rPr>
          <w:rFonts w:eastAsia="Calibri" w:cs="Calibri"/>
          <w:sz w:val="20"/>
          <w:lang w:val="sl-SI"/>
        </w:rPr>
        <w:t xml:space="preserve"> in </w:t>
      </w:r>
      <w:proofErr w:type="spellStart"/>
      <w:r w:rsidRPr="00A52510">
        <w:rPr>
          <w:rFonts w:eastAsia="Calibri" w:cs="Calibri"/>
          <w:sz w:val="20"/>
          <w:lang w:val="sl-SI"/>
        </w:rPr>
        <w:t>Tecnológico</w:t>
      </w:r>
      <w:proofErr w:type="spellEnd"/>
      <w:r w:rsidRPr="00A52510">
        <w:rPr>
          <w:rFonts w:eastAsia="Calibri" w:cs="Calibri"/>
          <w:sz w:val="20"/>
          <w:lang w:val="sl-SI"/>
        </w:rPr>
        <w:t xml:space="preserve"> de </w:t>
      </w:r>
      <w:proofErr w:type="spellStart"/>
      <w:r w:rsidRPr="00A52510">
        <w:rPr>
          <w:rFonts w:eastAsia="Calibri" w:cs="Calibri"/>
          <w:sz w:val="20"/>
          <w:lang w:val="sl-SI"/>
        </w:rPr>
        <w:t>Monterrey</w:t>
      </w:r>
      <w:proofErr w:type="spellEnd"/>
      <w:r w:rsidRPr="00A52510">
        <w:rPr>
          <w:rFonts w:eastAsia="Calibri" w:cs="Calibri"/>
          <w:sz w:val="20"/>
          <w:lang w:val="sl-SI"/>
        </w:rPr>
        <w:t xml:space="preserve"> ter nacionalni timi GEM. Slovenski del raziskave financirajo SPIRIT – Javna agencija Republike Slovenije za spodbujanje investicij, podjetništva in internacionalizacije, Ministrstvo za gospodarstvo, turizem in šport in Javna agencija za znanstvenoraziskovalno in inovacijsko dejavnost RS v okviru raziskovalnega programa </w:t>
      </w:r>
      <w:r w:rsidRPr="00A52510">
        <w:rPr>
          <w:rFonts w:eastAsia="Calibri" w:cs="Calibri"/>
          <w:sz w:val="20"/>
          <w:lang w:val="sl-SI"/>
        </w:rPr>
        <w:lastRenderedPageBreak/>
        <w:t>P5-0023 ter Inštitut za podjetništvo in management malih podjetij na Ekonomsko-poslovni fakulteti Univerze v Mariboru.</w:t>
      </w:r>
    </w:p>
    <w:p w14:paraId="65395271" w14:textId="77777777" w:rsidR="00577DAE" w:rsidRPr="00A52510" w:rsidRDefault="0094664E" w:rsidP="00A86DA6">
      <w:pPr>
        <w:shd w:val="clear" w:color="auto" w:fill="E7E1DA"/>
        <w:spacing w:after="160" w:line="256" w:lineRule="auto"/>
        <w:jc w:val="both"/>
        <w:rPr>
          <w:rFonts w:eastAsia="Calibri" w:cs="Calibri"/>
          <w:sz w:val="20"/>
          <w:lang w:val="sl-SI"/>
        </w:rPr>
      </w:pPr>
      <w:r w:rsidRPr="00A52510">
        <w:rPr>
          <w:rFonts w:eastAsia="Calibri" w:cs="Calibri"/>
          <w:sz w:val="20"/>
          <w:lang w:val="sl-SI"/>
        </w:rPr>
        <w:t xml:space="preserve">Podrobni rezultati raziskave so dostopni na spletnih straneh Inštituta za podjetništvo in management malih podjetij: </w:t>
      </w:r>
      <w:hyperlink r:id="rId14" w:history="1">
        <w:r w:rsidRPr="00A52510">
          <w:rPr>
            <w:rFonts w:eastAsia="Calibri" w:cs="Calibri"/>
            <w:color w:val="0000FF"/>
            <w:sz w:val="20"/>
            <w:u w:val="single"/>
            <w:lang w:val="sl-SI"/>
          </w:rPr>
          <w:t>http://ipmmp.um.si/</w:t>
        </w:r>
      </w:hyperlink>
      <w:r w:rsidRPr="00A52510">
        <w:rPr>
          <w:rFonts w:eastAsia="Calibri" w:cs="Calibri"/>
          <w:sz w:val="20"/>
          <w:lang w:val="sl-SI"/>
        </w:rPr>
        <w:t xml:space="preserve"> in na globalni spletni strani </w:t>
      </w:r>
      <w:hyperlink r:id="rId15" w:history="1">
        <w:r w:rsidRPr="00A52510">
          <w:rPr>
            <w:rFonts w:eastAsia="Calibri" w:cs="Calibri"/>
            <w:color w:val="0000FF"/>
            <w:sz w:val="20"/>
            <w:u w:val="single"/>
            <w:lang w:val="sl-SI"/>
          </w:rPr>
          <w:t>www.gemconsortium.org</w:t>
        </w:r>
      </w:hyperlink>
      <w:r w:rsidRPr="00A52510">
        <w:rPr>
          <w:rFonts w:eastAsia="Calibri" w:cs="Calibri"/>
          <w:sz w:val="20"/>
          <w:lang w:val="sl-SI"/>
        </w:rPr>
        <w:t xml:space="preserve">, kjer najdete tudi rezultate raziskav podjetništva v preteklih letih, podatkovne baze in številne druge informacije o svetovni raziskavi. </w:t>
      </w:r>
    </w:p>
    <w:p w14:paraId="4D9776EB" w14:textId="1107E4FF" w:rsidR="0094664E" w:rsidRPr="00A52510" w:rsidRDefault="00577DAE" w:rsidP="00A86DA6">
      <w:pPr>
        <w:shd w:val="clear" w:color="auto" w:fill="E7E1DA"/>
        <w:spacing w:after="160" w:line="256" w:lineRule="auto"/>
        <w:jc w:val="both"/>
        <w:rPr>
          <w:rFonts w:eastAsia="Calibri" w:cs="Calibri"/>
          <w:sz w:val="20"/>
          <w:szCs w:val="20"/>
          <w:lang w:val="sl-SI"/>
        </w:rPr>
      </w:pPr>
      <w:r w:rsidRPr="00A52510">
        <w:rPr>
          <w:rFonts w:eastAsia="Calibri" w:cs="Calibri"/>
          <w:sz w:val="20"/>
          <w:lang w:val="sl-SI"/>
        </w:rPr>
        <w:t>Obenem s slovensko izdajo Globaln</w:t>
      </w:r>
      <w:r w:rsidR="00185E4D" w:rsidRPr="00A52510">
        <w:rPr>
          <w:rFonts w:eastAsia="Calibri" w:cs="Calibri"/>
          <w:sz w:val="20"/>
          <w:lang w:val="sl-SI"/>
        </w:rPr>
        <w:t xml:space="preserve">ega podjetniškega monitorja </w:t>
      </w:r>
      <w:r w:rsidR="008F35FC">
        <w:rPr>
          <w:rFonts w:eastAsia="Calibri" w:cs="Calibri"/>
          <w:sz w:val="20"/>
          <w:lang w:val="sl-SI"/>
        </w:rPr>
        <w:t xml:space="preserve">2025 </w:t>
      </w:r>
      <w:r w:rsidRPr="00A52510">
        <w:rPr>
          <w:rFonts w:eastAsia="Calibri" w:cs="Calibri"/>
          <w:sz w:val="20"/>
          <w:lang w:val="sl-SI"/>
        </w:rPr>
        <w:t xml:space="preserve">je za mednarodno znanstveno in </w:t>
      </w:r>
      <w:r w:rsidRPr="00A52510">
        <w:rPr>
          <w:rFonts w:eastAsia="Calibri" w:cs="Calibri"/>
          <w:sz w:val="20"/>
          <w:szCs w:val="20"/>
          <w:lang w:val="sl-SI"/>
        </w:rPr>
        <w:t>strokovno javnost izšel tudi obširen povzetek raziskave v angleškem jeziku.</w:t>
      </w:r>
    </w:p>
    <w:p w14:paraId="46BA011E" w14:textId="77777777" w:rsidR="00E30185" w:rsidRPr="00A52510" w:rsidRDefault="00E30185" w:rsidP="00A86DA6">
      <w:pPr>
        <w:shd w:val="clear" w:color="auto" w:fill="E7E1DA"/>
        <w:spacing w:line="256" w:lineRule="auto"/>
        <w:jc w:val="both"/>
        <w:rPr>
          <w:rFonts w:eastAsia="Calibri" w:cs="Calibri"/>
          <w:b/>
          <w:color w:val="1F497D" w:themeColor="text2"/>
          <w:sz w:val="20"/>
          <w:szCs w:val="20"/>
          <w:lang w:val="sl-SI"/>
        </w:rPr>
      </w:pPr>
      <w:r w:rsidRPr="00A52510">
        <w:rPr>
          <w:rFonts w:eastAsia="Calibri" w:cs="Calibri"/>
          <w:b/>
          <w:color w:val="1F497D" w:themeColor="text2"/>
          <w:sz w:val="20"/>
          <w:szCs w:val="20"/>
          <w:lang w:val="sl-SI"/>
        </w:rPr>
        <w:t xml:space="preserve">Dodatne informacije: </w:t>
      </w:r>
    </w:p>
    <w:p w14:paraId="5F1C69EA" w14:textId="77777777" w:rsidR="002D37F9" w:rsidRPr="00A52510" w:rsidRDefault="002D37F9" w:rsidP="00A86DA6">
      <w:pPr>
        <w:shd w:val="clear" w:color="auto" w:fill="E7E1DA"/>
        <w:spacing w:after="0" w:line="257" w:lineRule="auto"/>
        <w:jc w:val="both"/>
        <w:rPr>
          <w:rFonts w:eastAsia="Calibri" w:cs="Calibri"/>
          <w:b/>
          <w:color w:val="1F497D" w:themeColor="text2"/>
          <w:sz w:val="20"/>
          <w:szCs w:val="20"/>
          <w:lang w:val="sl-SI"/>
        </w:rPr>
      </w:pPr>
      <w:r w:rsidRPr="00A52510">
        <w:rPr>
          <w:rFonts w:eastAsia="Calibri" w:cs="Calibri"/>
          <w:b/>
          <w:color w:val="1F497D" w:themeColor="text2"/>
          <w:sz w:val="20"/>
          <w:szCs w:val="20"/>
          <w:lang w:val="sl-SI"/>
        </w:rPr>
        <w:t>Prof. dr. Karin Širec</w:t>
      </w:r>
    </w:p>
    <w:p w14:paraId="60181EC2" w14:textId="77777777" w:rsidR="002D37F9" w:rsidRPr="00A52510" w:rsidRDefault="002D37F9" w:rsidP="00A86DA6">
      <w:pPr>
        <w:shd w:val="clear" w:color="auto" w:fill="E7E1DA"/>
        <w:spacing w:after="0" w:line="257" w:lineRule="auto"/>
        <w:jc w:val="both"/>
        <w:rPr>
          <w:rFonts w:eastAsia="Calibri" w:cs="Calibri"/>
          <w:bCs/>
          <w:sz w:val="20"/>
          <w:szCs w:val="20"/>
          <w:lang w:val="sl-SI"/>
        </w:rPr>
      </w:pPr>
      <w:r w:rsidRPr="00A52510">
        <w:rPr>
          <w:rFonts w:eastAsia="Calibri" w:cs="Calibri"/>
          <w:bCs/>
          <w:sz w:val="20"/>
          <w:szCs w:val="20"/>
          <w:lang w:val="sl-SI"/>
        </w:rPr>
        <w:t xml:space="preserve">Ekonomsko-poslovna fakulteta Univerze v Mariboru </w:t>
      </w:r>
    </w:p>
    <w:p w14:paraId="1860CFC5" w14:textId="77777777" w:rsidR="002D37F9" w:rsidRPr="00A52510" w:rsidRDefault="002D37F9" w:rsidP="00A86DA6">
      <w:pPr>
        <w:shd w:val="clear" w:color="auto" w:fill="E7E1DA"/>
        <w:spacing w:after="0" w:line="257" w:lineRule="auto"/>
        <w:jc w:val="both"/>
        <w:rPr>
          <w:rFonts w:eastAsia="Calibri" w:cs="Calibri"/>
          <w:bCs/>
          <w:sz w:val="20"/>
          <w:szCs w:val="20"/>
          <w:lang w:val="sl-SI"/>
        </w:rPr>
      </w:pPr>
      <w:r w:rsidRPr="00A52510">
        <w:rPr>
          <w:rFonts w:eastAsia="Calibri" w:cs="Calibri"/>
          <w:bCs/>
          <w:sz w:val="20"/>
          <w:szCs w:val="20"/>
          <w:lang w:val="sl-SI"/>
        </w:rPr>
        <w:t>Inštitut za podjetništvo in management malih podjetij</w:t>
      </w:r>
    </w:p>
    <w:p w14:paraId="4F8FDF3E" w14:textId="4B4534A6" w:rsidR="009C4376" w:rsidRPr="008405C0" w:rsidRDefault="002D37F9" w:rsidP="00A86DA6">
      <w:pPr>
        <w:shd w:val="clear" w:color="auto" w:fill="E7E1DA"/>
        <w:spacing w:after="0" w:line="257" w:lineRule="auto"/>
        <w:jc w:val="both"/>
        <w:rPr>
          <w:rFonts w:eastAsia="Calibri" w:cs="Calibri"/>
          <w:bCs/>
          <w:sz w:val="20"/>
          <w:szCs w:val="20"/>
          <w:lang w:val="sl-SI"/>
        </w:rPr>
      </w:pPr>
      <w:r w:rsidRPr="00A52510">
        <w:rPr>
          <w:rFonts w:eastAsia="Calibri" w:cs="Calibri"/>
          <w:bCs/>
          <w:sz w:val="20"/>
          <w:szCs w:val="20"/>
          <w:lang w:val="sl-SI"/>
        </w:rPr>
        <w:t>Kontakt: karin.sirec@um.si   (02 22 90 114)</w:t>
      </w:r>
    </w:p>
    <w:sectPr w:rsidR="009C4376" w:rsidRPr="008405C0" w:rsidSect="00A323D7">
      <w:footerReference w:type="default" r:id="rId16"/>
      <w:headerReference w:type="first" r:id="rId17"/>
      <w:footerReference w:type="first" r:id="rId18"/>
      <w:pgSz w:w="11906" w:h="16838"/>
      <w:pgMar w:top="1440" w:right="1440" w:bottom="1440" w:left="144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87A6" w14:textId="77777777" w:rsidR="00A13817" w:rsidRDefault="00A13817" w:rsidP="00BB5C4F">
      <w:pPr>
        <w:spacing w:after="0"/>
      </w:pPr>
      <w:r>
        <w:separator/>
      </w:r>
    </w:p>
  </w:endnote>
  <w:endnote w:type="continuationSeparator" w:id="0">
    <w:p w14:paraId="6C1EAAB1" w14:textId="77777777" w:rsidR="00A13817" w:rsidRDefault="00A13817"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0355" w14:textId="77777777" w:rsidR="00182D4E" w:rsidRPr="007564BD" w:rsidRDefault="00182D4E"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C929A3">
      <w:rPr>
        <w:noProof/>
        <w:color w:val="006A8E"/>
        <w:sz w:val="18"/>
      </w:rPr>
      <w:t>5</w:t>
    </w:r>
    <w:r w:rsidRPr="007564BD">
      <w:rPr>
        <w:color w:val="006A8E"/>
        <w:sz w:val="18"/>
      </w:rPr>
      <w:fldChar w:fldCharType="end"/>
    </w:r>
    <w:r w:rsidRPr="007564BD">
      <w:rPr>
        <w:color w:val="006A8E"/>
        <w:sz w:val="18"/>
      </w:rPr>
      <w:t xml:space="preserve"> / </w:t>
    </w:r>
    <w:r w:rsidR="00370253">
      <w:rPr>
        <w:noProof/>
        <w:color w:val="006A8E"/>
        <w:sz w:val="18"/>
      </w:rPr>
      <w:fldChar w:fldCharType="begin"/>
    </w:r>
    <w:r w:rsidR="00370253">
      <w:rPr>
        <w:noProof/>
        <w:color w:val="006A8E"/>
        <w:sz w:val="18"/>
      </w:rPr>
      <w:instrText xml:space="preserve"> NUMPAGES  \* Arabic  \* MERGEFORMAT </w:instrText>
    </w:r>
    <w:r w:rsidR="00370253">
      <w:rPr>
        <w:noProof/>
        <w:color w:val="006A8E"/>
        <w:sz w:val="18"/>
      </w:rPr>
      <w:fldChar w:fldCharType="separate"/>
    </w:r>
    <w:r w:rsidR="00C929A3">
      <w:rPr>
        <w:noProof/>
        <w:color w:val="006A8E"/>
        <w:sz w:val="18"/>
      </w:rPr>
      <w:t>5</w:t>
    </w:r>
    <w:r w:rsidR="00370253">
      <w:rPr>
        <w:noProof/>
        <w:color w:val="006A8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A62" w14:textId="77777777" w:rsidR="00182D4E" w:rsidRDefault="00182D4E" w:rsidP="00977C6E">
    <w:pPr>
      <w:pStyle w:val="Noga"/>
      <w:tabs>
        <w:tab w:val="left" w:pos="3686"/>
      </w:tabs>
      <w:rPr>
        <w:rStyle w:val="A1"/>
        <w:rFonts w:ascii="Calibri" w:hAnsi="Calibri"/>
        <w:sz w:val="8"/>
        <w:szCs w:val="18"/>
      </w:rPr>
    </w:pPr>
  </w:p>
  <w:p w14:paraId="5BC78118" w14:textId="77777777" w:rsidR="00182D4E" w:rsidRDefault="00182D4E" w:rsidP="00977C6E">
    <w:pPr>
      <w:pStyle w:val="Noga"/>
      <w:tabs>
        <w:tab w:val="left" w:pos="3686"/>
      </w:tabs>
      <w:rPr>
        <w:rStyle w:val="A1"/>
        <w:rFonts w:ascii="Calibri" w:hAnsi="Calibri"/>
        <w:sz w:val="8"/>
        <w:szCs w:val="18"/>
      </w:rPr>
    </w:pPr>
  </w:p>
  <w:p w14:paraId="0FB05A5A" w14:textId="77777777" w:rsidR="00182D4E" w:rsidRDefault="00182D4E" w:rsidP="00977C6E">
    <w:pPr>
      <w:pStyle w:val="Noga"/>
      <w:tabs>
        <w:tab w:val="left" w:pos="3686"/>
      </w:tabs>
      <w:rPr>
        <w:rStyle w:val="A1"/>
        <w:rFonts w:ascii="Calibri" w:hAnsi="Calibri"/>
        <w:sz w:val="8"/>
        <w:szCs w:val="18"/>
      </w:rPr>
    </w:pPr>
  </w:p>
  <w:p w14:paraId="7B86DFFF" w14:textId="77777777" w:rsidR="00182D4E" w:rsidRDefault="00182D4E" w:rsidP="00977C6E">
    <w:pPr>
      <w:pStyle w:val="Noga"/>
      <w:tabs>
        <w:tab w:val="left" w:pos="3686"/>
      </w:tabs>
      <w:rPr>
        <w:rStyle w:val="A1"/>
        <w:rFonts w:ascii="Calibri" w:hAnsi="Calibri"/>
        <w:sz w:val="8"/>
        <w:szCs w:val="18"/>
      </w:rPr>
    </w:pPr>
  </w:p>
  <w:p w14:paraId="004C2769" w14:textId="77777777" w:rsidR="00182D4E" w:rsidRDefault="00182D4E" w:rsidP="00977C6E">
    <w:pPr>
      <w:pStyle w:val="Noga"/>
      <w:tabs>
        <w:tab w:val="left" w:pos="3686"/>
      </w:tabs>
      <w:rPr>
        <w:rStyle w:val="A1"/>
        <w:rFonts w:ascii="Calibri" w:hAnsi="Calibri"/>
        <w:sz w:val="8"/>
        <w:szCs w:val="18"/>
      </w:rPr>
    </w:pPr>
  </w:p>
  <w:p w14:paraId="04909EAC" w14:textId="77777777" w:rsidR="00182D4E" w:rsidRPr="00977C6E" w:rsidRDefault="00182D4E" w:rsidP="00977C6E">
    <w:pPr>
      <w:pStyle w:val="Noga"/>
      <w:tabs>
        <w:tab w:val="left" w:pos="3686"/>
      </w:tabs>
      <w:rPr>
        <w:rStyle w:val="A1"/>
        <w:rFonts w:ascii="Calibri" w:hAnsi="Calibri"/>
        <w:sz w:val="8"/>
        <w:szCs w:val="18"/>
      </w:rPr>
    </w:pPr>
  </w:p>
  <w:p w14:paraId="3B23D074" w14:textId="77777777" w:rsidR="00182D4E" w:rsidRPr="003D6941" w:rsidRDefault="00182D4E" w:rsidP="00A96813">
    <w:pPr>
      <w:pStyle w:val="Noga"/>
      <w:rPr>
        <w:color w:val="006A8E"/>
        <w:sz w:val="18"/>
        <w:szCs w:val="18"/>
      </w:rPr>
    </w:pPr>
    <w:r w:rsidRPr="003D6941">
      <w:rPr>
        <w:rStyle w:val="A1"/>
        <w:rFonts w:ascii="Calibri" w:hAnsi="Calibri"/>
        <w:sz w:val="18"/>
        <w:szCs w:val="18"/>
      </w:rPr>
      <w:t xml:space="preserve">www.epf.um.si | epf@um.si | t +386 2 229 00 00 | f +386 2 229 02 17 | </w:t>
    </w:r>
    <w:proofErr w:type="spellStart"/>
    <w:r w:rsidRPr="003D6941">
      <w:rPr>
        <w:rStyle w:val="A1"/>
        <w:rFonts w:ascii="Calibri" w:hAnsi="Calibri"/>
        <w:sz w:val="18"/>
        <w:szCs w:val="18"/>
      </w:rPr>
      <w:t>trr</w:t>
    </w:r>
    <w:proofErr w:type="spellEnd"/>
    <w:r w:rsidRPr="003D6941">
      <w:rPr>
        <w:rStyle w:val="A1"/>
        <w:rFonts w:ascii="Calibri" w:hAnsi="Calibri"/>
        <w:sz w:val="18"/>
        <w:szCs w:val="18"/>
      </w:rPr>
      <w:t xml:space="preserve">: 01100-6090124275 | id </w:t>
    </w:r>
    <w:proofErr w:type="spellStart"/>
    <w:r w:rsidRPr="003D6941">
      <w:rPr>
        <w:rStyle w:val="A1"/>
        <w:rFonts w:ascii="Calibri" w:hAnsi="Calibri"/>
        <w:sz w:val="18"/>
        <w:szCs w:val="18"/>
      </w:rPr>
      <w:t>ddv</w:t>
    </w:r>
    <w:proofErr w:type="spellEnd"/>
    <w:r w:rsidRPr="003D6941">
      <w:rPr>
        <w:rStyle w:val="A1"/>
        <w:rFonts w:ascii="Calibri" w:hAnsi="Calibri"/>
        <w:sz w:val="18"/>
        <w:szCs w:val="18"/>
      </w:rPr>
      <w:t>: SI 71674705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8DCE" w14:textId="77777777" w:rsidR="00A13817" w:rsidRDefault="00A13817" w:rsidP="00BB5C4F">
      <w:pPr>
        <w:spacing w:after="0"/>
      </w:pPr>
      <w:r>
        <w:separator/>
      </w:r>
    </w:p>
  </w:footnote>
  <w:footnote w:type="continuationSeparator" w:id="0">
    <w:p w14:paraId="1AEB971B" w14:textId="77777777" w:rsidR="00A13817" w:rsidRDefault="00A13817"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48E5" w14:textId="006CF920" w:rsidR="00182D4E" w:rsidRDefault="00182D4E"/>
  <w:tbl>
    <w:tblPr>
      <w:tblpPr w:leftFromText="141" w:rightFromText="141" w:vertAnchor="text" w:tblpXSpec="center" w:tblpY="1"/>
      <w:tblOverlap w:val="never"/>
      <w:tblW w:w="9180" w:type="dxa"/>
      <w:jc w:val="center"/>
      <w:tblCellMar>
        <w:right w:w="0" w:type="dxa"/>
      </w:tblCellMar>
      <w:tblLook w:val="04A0" w:firstRow="1" w:lastRow="0" w:firstColumn="1" w:lastColumn="0" w:noHBand="0" w:noVBand="1"/>
    </w:tblPr>
    <w:tblGrid>
      <w:gridCol w:w="3051"/>
      <w:gridCol w:w="3070"/>
      <w:gridCol w:w="3059"/>
    </w:tblGrid>
    <w:tr w:rsidR="00182D4E" w14:paraId="6B0B517E" w14:textId="77777777" w:rsidTr="00493F5A">
      <w:trPr>
        <w:trHeight w:val="397"/>
        <w:jc w:val="center"/>
      </w:trPr>
      <w:tc>
        <w:tcPr>
          <w:tcW w:w="3051" w:type="dxa"/>
          <w:vAlign w:val="bottom"/>
        </w:tcPr>
        <w:p w14:paraId="35EA63F7" w14:textId="6F9DDF58" w:rsidR="00182D4E" w:rsidRDefault="00BF4EA3">
          <w:r>
            <w:rPr>
              <w:noProof/>
            </w:rPr>
            <w:drawing>
              <wp:anchor distT="0" distB="0" distL="114300" distR="114300" simplePos="0" relativeHeight="251670528" behindDoc="0" locked="0" layoutInCell="1" allowOverlap="1" wp14:anchorId="6CAB909C" wp14:editId="04D9A9B3">
                <wp:simplePos x="0" y="0"/>
                <wp:positionH relativeFrom="column">
                  <wp:posOffset>-12065</wp:posOffset>
                </wp:positionH>
                <wp:positionV relativeFrom="paragraph">
                  <wp:posOffset>-598170</wp:posOffset>
                </wp:positionV>
                <wp:extent cx="793750" cy="795655"/>
                <wp:effectExtent l="0" t="0" r="6350" b="4445"/>
                <wp:wrapNone/>
                <wp:docPr id="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09CE59" w14:textId="77777777" w:rsidR="00182D4E" w:rsidRDefault="00182D4E" w:rsidP="00493F5A">
          <w:pPr>
            <w:pStyle w:val="Glava"/>
            <w:spacing w:line="200" w:lineRule="exact"/>
            <w:jc w:val="center"/>
            <w:rPr>
              <w:noProof/>
              <w:lang w:eastAsia="sl-SI"/>
            </w:rPr>
          </w:pPr>
        </w:p>
      </w:tc>
      <w:tc>
        <w:tcPr>
          <w:tcW w:w="3070" w:type="dxa"/>
          <w:vAlign w:val="bottom"/>
        </w:tcPr>
        <w:p w14:paraId="1F3E2173" w14:textId="77777777" w:rsidR="00182D4E" w:rsidRDefault="00BE0FFA" w:rsidP="00493F5A">
          <w:pPr>
            <w:pStyle w:val="Glava"/>
            <w:spacing w:line="200" w:lineRule="exact"/>
            <w:jc w:val="center"/>
            <w:rPr>
              <w:noProof/>
              <w:lang w:eastAsia="sl-SI"/>
            </w:rPr>
          </w:pPr>
          <w:r>
            <w:rPr>
              <w:noProof/>
            </w:rPr>
            <w:drawing>
              <wp:anchor distT="0" distB="0" distL="114300" distR="114300" simplePos="0" relativeHeight="251659776" behindDoc="1" locked="0" layoutInCell="1" allowOverlap="1" wp14:anchorId="4BA49AAF" wp14:editId="04CEF7B5">
                <wp:simplePos x="0" y="0"/>
                <wp:positionH relativeFrom="column">
                  <wp:posOffset>92710</wp:posOffset>
                </wp:positionH>
                <wp:positionV relativeFrom="page">
                  <wp:posOffset>4445</wp:posOffset>
                </wp:positionV>
                <wp:extent cx="1743075" cy="847725"/>
                <wp:effectExtent l="0" t="0" r="9525" b="9525"/>
                <wp:wrapThrough wrapText="bothSides">
                  <wp:wrapPolygon edited="0">
                    <wp:start x="0" y="0"/>
                    <wp:lineTo x="0" y="21357"/>
                    <wp:lineTo x="21482" y="21357"/>
                    <wp:lineTo x="21482" y="0"/>
                    <wp:lineTo x="0" y="0"/>
                  </wp:wrapPolygon>
                </wp:wrapThrough>
                <wp:docPr id="5" name="Slika 5" descr="logo-um-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um-ep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pic:spPr>
                    </pic:pic>
                  </a:graphicData>
                </a:graphic>
                <wp14:sizeRelH relativeFrom="page">
                  <wp14:pctWidth>0</wp14:pctWidth>
                </wp14:sizeRelH>
                <wp14:sizeRelV relativeFrom="page">
                  <wp14:pctHeight>0</wp14:pctHeight>
                </wp14:sizeRelV>
              </wp:anchor>
            </w:drawing>
          </w:r>
          <w:r w:rsidR="00182D4E" w:rsidRPr="001179EF">
            <w:rPr>
              <w:color w:val="006A8E"/>
              <w:sz w:val="18"/>
            </w:rPr>
            <w:t>Razlagova 14</w:t>
          </w:r>
          <w:r w:rsidR="00182D4E" w:rsidRPr="001179EF">
            <w:rPr>
              <w:color w:val="006A8E"/>
              <w:sz w:val="18"/>
            </w:rPr>
            <w:br/>
            <w:t>2000 Maribor, Slovenija</w:t>
          </w:r>
        </w:p>
      </w:tc>
      <w:tc>
        <w:tcPr>
          <w:tcW w:w="3059" w:type="dxa"/>
          <w:vAlign w:val="bottom"/>
        </w:tcPr>
        <w:p w14:paraId="2D95E8A8" w14:textId="4CB16AB0" w:rsidR="00182D4E" w:rsidRDefault="00182D4E" w:rsidP="00493F5A">
          <w:pPr>
            <w:pStyle w:val="Glava"/>
            <w:spacing w:line="200" w:lineRule="exact"/>
            <w:jc w:val="center"/>
            <w:rPr>
              <w:noProof/>
              <w:lang w:eastAsia="sl-SI"/>
            </w:rPr>
          </w:pPr>
        </w:p>
      </w:tc>
    </w:tr>
  </w:tbl>
  <w:p w14:paraId="2C422E29" w14:textId="77777777" w:rsidR="00182D4E" w:rsidRPr="00B02A70" w:rsidRDefault="00182D4E" w:rsidP="00054766">
    <w:pPr>
      <w:pStyle w:val="Glava"/>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EE2B83"/>
    <w:multiLevelType w:val="hybridMultilevel"/>
    <w:tmpl w:val="E51ACF86"/>
    <w:lvl w:ilvl="0" w:tplc="8AC2D2D6">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30031CF"/>
    <w:multiLevelType w:val="hybridMultilevel"/>
    <w:tmpl w:val="321E2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368385">
    <w:abstractNumId w:val="0"/>
  </w:num>
  <w:num w:numId="2" w16cid:durableId="2111048468">
    <w:abstractNumId w:val="4"/>
  </w:num>
  <w:num w:numId="3" w16cid:durableId="10694157">
    <w:abstractNumId w:val="3"/>
  </w:num>
  <w:num w:numId="4" w16cid:durableId="1093357197">
    <w:abstractNumId w:val="2"/>
  </w:num>
  <w:num w:numId="5" w16cid:durableId="525481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CzNLA0MjYytTBX0lEKTi0uzszPAykwrAUAZ6msOiwAAAA="/>
  </w:docVars>
  <w:rsids>
    <w:rsidRoot w:val="00256A53"/>
    <w:rsid w:val="00006816"/>
    <w:rsid w:val="00013365"/>
    <w:rsid w:val="00015E8D"/>
    <w:rsid w:val="0001667A"/>
    <w:rsid w:val="00017FB9"/>
    <w:rsid w:val="0002219F"/>
    <w:rsid w:val="00023E6D"/>
    <w:rsid w:val="00024A2B"/>
    <w:rsid w:val="00025496"/>
    <w:rsid w:val="00026127"/>
    <w:rsid w:val="00026290"/>
    <w:rsid w:val="00026EB1"/>
    <w:rsid w:val="00031D9B"/>
    <w:rsid w:val="00043DD1"/>
    <w:rsid w:val="00051DAE"/>
    <w:rsid w:val="00051F90"/>
    <w:rsid w:val="00054766"/>
    <w:rsid w:val="000661CD"/>
    <w:rsid w:val="00074972"/>
    <w:rsid w:val="00075AE7"/>
    <w:rsid w:val="000838A6"/>
    <w:rsid w:val="000A080D"/>
    <w:rsid w:val="000A15D9"/>
    <w:rsid w:val="000A68B3"/>
    <w:rsid w:val="000B2124"/>
    <w:rsid w:val="000C09AF"/>
    <w:rsid w:val="000C393D"/>
    <w:rsid w:val="000C419D"/>
    <w:rsid w:val="000D2234"/>
    <w:rsid w:val="000E26AB"/>
    <w:rsid w:val="000E68F6"/>
    <w:rsid w:val="000F0066"/>
    <w:rsid w:val="000F1A06"/>
    <w:rsid w:val="000F1F96"/>
    <w:rsid w:val="000F3B96"/>
    <w:rsid w:val="000F6472"/>
    <w:rsid w:val="00102BC2"/>
    <w:rsid w:val="00104DEA"/>
    <w:rsid w:val="001069FC"/>
    <w:rsid w:val="001145E2"/>
    <w:rsid w:val="001179EF"/>
    <w:rsid w:val="00124A27"/>
    <w:rsid w:val="00127806"/>
    <w:rsid w:val="00143DF7"/>
    <w:rsid w:val="0015062F"/>
    <w:rsid w:val="0015250F"/>
    <w:rsid w:val="0015294A"/>
    <w:rsid w:val="0015308F"/>
    <w:rsid w:val="00160C75"/>
    <w:rsid w:val="00162759"/>
    <w:rsid w:val="00162F16"/>
    <w:rsid w:val="0017083A"/>
    <w:rsid w:val="001716BC"/>
    <w:rsid w:val="001763F8"/>
    <w:rsid w:val="00182D4E"/>
    <w:rsid w:val="0018493E"/>
    <w:rsid w:val="0018533D"/>
    <w:rsid w:val="00185E4D"/>
    <w:rsid w:val="00194390"/>
    <w:rsid w:val="001948DC"/>
    <w:rsid w:val="001A3223"/>
    <w:rsid w:val="001A5E06"/>
    <w:rsid w:val="001B6872"/>
    <w:rsid w:val="001C2D00"/>
    <w:rsid w:val="001C7C1C"/>
    <w:rsid w:val="001D1ECE"/>
    <w:rsid w:val="001D2CBF"/>
    <w:rsid w:val="001D67E9"/>
    <w:rsid w:val="001E6A9B"/>
    <w:rsid w:val="001F2744"/>
    <w:rsid w:val="001F68BE"/>
    <w:rsid w:val="00200F0C"/>
    <w:rsid w:val="00207757"/>
    <w:rsid w:val="00207BEF"/>
    <w:rsid w:val="00215201"/>
    <w:rsid w:val="0022221A"/>
    <w:rsid w:val="00230A3B"/>
    <w:rsid w:val="0023165A"/>
    <w:rsid w:val="00234BC7"/>
    <w:rsid w:val="00235313"/>
    <w:rsid w:val="00235A37"/>
    <w:rsid w:val="00235E2E"/>
    <w:rsid w:val="00240816"/>
    <w:rsid w:val="0025107D"/>
    <w:rsid w:val="00256823"/>
    <w:rsid w:val="00256A53"/>
    <w:rsid w:val="00257257"/>
    <w:rsid w:val="002621C0"/>
    <w:rsid w:val="00264530"/>
    <w:rsid w:val="00274642"/>
    <w:rsid w:val="00276338"/>
    <w:rsid w:val="00280ACB"/>
    <w:rsid w:val="00280E3D"/>
    <w:rsid w:val="00281D3E"/>
    <w:rsid w:val="0028526B"/>
    <w:rsid w:val="00287BB7"/>
    <w:rsid w:val="002A0F3A"/>
    <w:rsid w:val="002A1BEF"/>
    <w:rsid w:val="002A1DD9"/>
    <w:rsid w:val="002A2444"/>
    <w:rsid w:val="002A6235"/>
    <w:rsid w:val="002B3618"/>
    <w:rsid w:val="002C0ED4"/>
    <w:rsid w:val="002C45A1"/>
    <w:rsid w:val="002C462D"/>
    <w:rsid w:val="002C4D7B"/>
    <w:rsid w:val="002C6EE3"/>
    <w:rsid w:val="002D37F9"/>
    <w:rsid w:val="002D738A"/>
    <w:rsid w:val="002E2D9F"/>
    <w:rsid w:val="002F173F"/>
    <w:rsid w:val="002F2224"/>
    <w:rsid w:val="00301EBC"/>
    <w:rsid w:val="00303C54"/>
    <w:rsid w:val="00303CD5"/>
    <w:rsid w:val="00307F23"/>
    <w:rsid w:val="00311139"/>
    <w:rsid w:val="00311C55"/>
    <w:rsid w:val="00314793"/>
    <w:rsid w:val="00316DCD"/>
    <w:rsid w:val="003232EF"/>
    <w:rsid w:val="00323C9A"/>
    <w:rsid w:val="003249A9"/>
    <w:rsid w:val="00337C99"/>
    <w:rsid w:val="00343998"/>
    <w:rsid w:val="00345D0E"/>
    <w:rsid w:val="00345E91"/>
    <w:rsid w:val="00351CCC"/>
    <w:rsid w:val="00357803"/>
    <w:rsid w:val="00370253"/>
    <w:rsid w:val="0037130E"/>
    <w:rsid w:val="0037589A"/>
    <w:rsid w:val="00375BC7"/>
    <w:rsid w:val="00376031"/>
    <w:rsid w:val="00377FC8"/>
    <w:rsid w:val="0038445D"/>
    <w:rsid w:val="003A1E07"/>
    <w:rsid w:val="003A2119"/>
    <w:rsid w:val="003B5A28"/>
    <w:rsid w:val="003C1946"/>
    <w:rsid w:val="003C75F7"/>
    <w:rsid w:val="003D0F06"/>
    <w:rsid w:val="003D21A0"/>
    <w:rsid w:val="003D6941"/>
    <w:rsid w:val="003F3EC0"/>
    <w:rsid w:val="00400569"/>
    <w:rsid w:val="00403B4E"/>
    <w:rsid w:val="00406929"/>
    <w:rsid w:val="00411232"/>
    <w:rsid w:val="00413C63"/>
    <w:rsid w:val="00417C73"/>
    <w:rsid w:val="0043139A"/>
    <w:rsid w:val="00431DB4"/>
    <w:rsid w:val="0043432D"/>
    <w:rsid w:val="004414B8"/>
    <w:rsid w:val="00446898"/>
    <w:rsid w:val="0045206F"/>
    <w:rsid w:val="004637BD"/>
    <w:rsid w:val="00471EBC"/>
    <w:rsid w:val="004734B3"/>
    <w:rsid w:val="00475A5F"/>
    <w:rsid w:val="00482AC0"/>
    <w:rsid w:val="00486062"/>
    <w:rsid w:val="00493F5A"/>
    <w:rsid w:val="00497BBA"/>
    <w:rsid w:val="004A733D"/>
    <w:rsid w:val="004B6822"/>
    <w:rsid w:val="004B7F34"/>
    <w:rsid w:val="004C4AE0"/>
    <w:rsid w:val="004C4CEF"/>
    <w:rsid w:val="004C5F30"/>
    <w:rsid w:val="004D4EC4"/>
    <w:rsid w:val="004D5C47"/>
    <w:rsid w:val="004D607C"/>
    <w:rsid w:val="004D613C"/>
    <w:rsid w:val="004D6538"/>
    <w:rsid w:val="004D795B"/>
    <w:rsid w:val="004E5BA1"/>
    <w:rsid w:val="004E741D"/>
    <w:rsid w:val="004E7B49"/>
    <w:rsid w:val="004F1642"/>
    <w:rsid w:val="004F4786"/>
    <w:rsid w:val="004F6916"/>
    <w:rsid w:val="00501C46"/>
    <w:rsid w:val="005217B5"/>
    <w:rsid w:val="00522FDF"/>
    <w:rsid w:val="005329BC"/>
    <w:rsid w:val="00535560"/>
    <w:rsid w:val="005376C1"/>
    <w:rsid w:val="00537B57"/>
    <w:rsid w:val="005436EC"/>
    <w:rsid w:val="00545F10"/>
    <w:rsid w:val="005540A6"/>
    <w:rsid w:val="0055495C"/>
    <w:rsid w:val="00561AD4"/>
    <w:rsid w:val="00571D09"/>
    <w:rsid w:val="00577DAE"/>
    <w:rsid w:val="00584E50"/>
    <w:rsid w:val="00587061"/>
    <w:rsid w:val="005934CD"/>
    <w:rsid w:val="00593EC2"/>
    <w:rsid w:val="005A14EB"/>
    <w:rsid w:val="005A27DE"/>
    <w:rsid w:val="005B0F28"/>
    <w:rsid w:val="005B48A9"/>
    <w:rsid w:val="005C05B5"/>
    <w:rsid w:val="005C341A"/>
    <w:rsid w:val="005D3873"/>
    <w:rsid w:val="005E4A25"/>
    <w:rsid w:val="005F2615"/>
    <w:rsid w:val="005F43BE"/>
    <w:rsid w:val="00601823"/>
    <w:rsid w:val="006074A0"/>
    <w:rsid w:val="0061180C"/>
    <w:rsid w:val="00621757"/>
    <w:rsid w:val="00622867"/>
    <w:rsid w:val="00632206"/>
    <w:rsid w:val="00640EE8"/>
    <w:rsid w:val="00647F30"/>
    <w:rsid w:val="00660FC9"/>
    <w:rsid w:val="006656EB"/>
    <w:rsid w:val="0067211E"/>
    <w:rsid w:val="006765C9"/>
    <w:rsid w:val="00680C59"/>
    <w:rsid w:val="006837C4"/>
    <w:rsid w:val="0068576C"/>
    <w:rsid w:val="006A3EBA"/>
    <w:rsid w:val="006B3236"/>
    <w:rsid w:val="006B3EBF"/>
    <w:rsid w:val="006C199C"/>
    <w:rsid w:val="006C64D4"/>
    <w:rsid w:val="006D00BC"/>
    <w:rsid w:val="006D1EEF"/>
    <w:rsid w:val="006D2903"/>
    <w:rsid w:val="006D4274"/>
    <w:rsid w:val="00701148"/>
    <w:rsid w:val="007138CE"/>
    <w:rsid w:val="0073580B"/>
    <w:rsid w:val="00736ED8"/>
    <w:rsid w:val="007410DA"/>
    <w:rsid w:val="00745E04"/>
    <w:rsid w:val="007502B9"/>
    <w:rsid w:val="00751834"/>
    <w:rsid w:val="007554FD"/>
    <w:rsid w:val="007564BD"/>
    <w:rsid w:val="007639FF"/>
    <w:rsid w:val="00766DF9"/>
    <w:rsid w:val="00776FE5"/>
    <w:rsid w:val="00784EB8"/>
    <w:rsid w:val="00790B66"/>
    <w:rsid w:val="00791A95"/>
    <w:rsid w:val="007A1D41"/>
    <w:rsid w:val="007A1DCF"/>
    <w:rsid w:val="007A393A"/>
    <w:rsid w:val="007B34C1"/>
    <w:rsid w:val="007C4B80"/>
    <w:rsid w:val="007C5D52"/>
    <w:rsid w:val="007C6F3F"/>
    <w:rsid w:val="007D7ED2"/>
    <w:rsid w:val="007E1D54"/>
    <w:rsid w:val="007F0041"/>
    <w:rsid w:val="007F7D5A"/>
    <w:rsid w:val="00800E23"/>
    <w:rsid w:val="0080304F"/>
    <w:rsid w:val="008049B0"/>
    <w:rsid w:val="00821FB9"/>
    <w:rsid w:val="00822FC0"/>
    <w:rsid w:val="008237CC"/>
    <w:rsid w:val="00823CB4"/>
    <w:rsid w:val="00826F6A"/>
    <w:rsid w:val="008341ED"/>
    <w:rsid w:val="008405C0"/>
    <w:rsid w:val="008673CC"/>
    <w:rsid w:val="008712A0"/>
    <w:rsid w:val="008733B8"/>
    <w:rsid w:val="00874EB1"/>
    <w:rsid w:val="00884BC7"/>
    <w:rsid w:val="00884BE7"/>
    <w:rsid w:val="00897F1F"/>
    <w:rsid w:val="008A16FB"/>
    <w:rsid w:val="008A78B9"/>
    <w:rsid w:val="008B2A6B"/>
    <w:rsid w:val="008B5F9F"/>
    <w:rsid w:val="008C332B"/>
    <w:rsid w:val="008C4949"/>
    <w:rsid w:val="008C6380"/>
    <w:rsid w:val="008D37A9"/>
    <w:rsid w:val="008D3E66"/>
    <w:rsid w:val="008F35FC"/>
    <w:rsid w:val="008F5C2B"/>
    <w:rsid w:val="008F72AE"/>
    <w:rsid w:val="009151CC"/>
    <w:rsid w:val="009153E4"/>
    <w:rsid w:val="00916E8D"/>
    <w:rsid w:val="00921F9B"/>
    <w:rsid w:val="009258CE"/>
    <w:rsid w:val="00933893"/>
    <w:rsid w:val="00936E92"/>
    <w:rsid w:val="00941D5F"/>
    <w:rsid w:val="0094542A"/>
    <w:rsid w:val="0094664E"/>
    <w:rsid w:val="00950574"/>
    <w:rsid w:val="00952F6F"/>
    <w:rsid w:val="00954C2F"/>
    <w:rsid w:val="00962BBF"/>
    <w:rsid w:val="0097178D"/>
    <w:rsid w:val="00976774"/>
    <w:rsid w:val="00977C6E"/>
    <w:rsid w:val="00980AEC"/>
    <w:rsid w:val="0098133C"/>
    <w:rsid w:val="00982D25"/>
    <w:rsid w:val="00985A74"/>
    <w:rsid w:val="009956F4"/>
    <w:rsid w:val="009A2933"/>
    <w:rsid w:val="009C3616"/>
    <w:rsid w:val="009C4376"/>
    <w:rsid w:val="009D1978"/>
    <w:rsid w:val="009F3417"/>
    <w:rsid w:val="009F4465"/>
    <w:rsid w:val="009F49C9"/>
    <w:rsid w:val="009F4A92"/>
    <w:rsid w:val="00A01C37"/>
    <w:rsid w:val="00A02EAF"/>
    <w:rsid w:val="00A03BF3"/>
    <w:rsid w:val="00A03F1E"/>
    <w:rsid w:val="00A079EC"/>
    <w:rsid w:val="00A10A1C"/>
    <w:rsid w:val="00A110FC"/>
    <w:rsid w:val="00A13817"/>
    <w:rsid w:val="00A1730D"/>
    <w:rsid w:val="00A307E1"/>
    <w:rsid w:val="00A323D7"/>
    <w:rsid w:val="00A32CF9"/>
    <w:rsid w:val="00A32DAA"/>
    <w:rsid w:val="00A371F6"/>
    <w:rsid w:val="00A506F4"/>
    <w:rsid w:val="00A514D7"/>
    <w:rsid w:val="00A519DD"/>
    <w:rsid w:val="00A52510"/>
    <w:rsid w:val="00A569F1"/>
    <w:rsid w:val="00A60243"/>
    <w:rsid w:val="00A75609"/>
    <w:rsid w:val="00A7785A"/>
    <w:rsid w:val="00A80098"/>
    <w:rsid w:val="00A86DA6"/>
    <w:rsid w:val="00A907D0"/>
    <w:rsid w:val="00A939C0"/>
    <w:rsid w:val="00A93DA6"/>
    <w:rsid w:val="00A96813"/>
    <w:rsid w:val="00AA0D25"/>
    <w:rsid w:val="00AA246D"/>
    <w:rsid w:val="00AB3FB7"/>
    <w:rsid w:val="00AB7CD0"/>
    <w:rsid w:val="00AC15EF"/>
    <w:rsid w:val="00AC33C7"/>
    <w:rsid w:val="00AC6681"/>
    <w:rsid w:val="00AD4FBD"/>
    <w:rsid w:val="00AD63EA"/>
    <w:rsid w:val="00AE02AE"/>
    <w:rsid w:val="00AE2249"/>
    <w:rsid w:val="00AE25D2"/>
    <w:rsid w:val="00AE6BE0"/>
    <w:rsid w:val="00AF1878"/>
    <w:rsid w:val="00AF7067"/>
    <w:rsid w:val="00B0285A"/>
    <w:rsid w:val="00B02A70"/>
    <w:rsid w:val="00B02AEB"/>
    <w:rsid w:val="00B0419D"/>
    <w:rsid w:val="00B046A6"/>
    <w:rsid w:val="00B05C6C"/>
    <w:rsid w:val="00B05E9A"/>
    <w:rsid w:val="00B12229"/>
    <w:rsid w:val="00B13296"/>
    <w:rsid w:val="00B133AF"/>
    <w:rsid w:val="00B14DD9"/>
    <w:rsid w:val="00B14EA5"/>
    <w:rsid w:val="00B16968"/>
    <w:rsid w:val="00B17911"/>
    <w:rsid w:val="00B22B71"/>
    <w:rsid w:val="00B22C5B"/>
    <w:rsid w:val="00B27D02"/>
    <w:rsid w:val="00B33E0D"/>
    <w:rsid w:val="00B36BDD"/>
    <w:rsid w:val="00B414D7"/>
    <w:rsid w:val="00B43A90"/>
    <w:rsid w:val="00B578BB"/>
    <w:rsid w:val="00B666A5"/>
    <w:rsid w:val="00B73B7C"/>
    <w:rsid w:val="00B7476B"/>
    <w:rsid w:val="00B77466"/>
    <w:rsid w:val="00B821D2"/>
    <w:rsid w:val="00B85E31"/>
    <w:rsid w:val="00B9170C"/>
    <w:rsid w:val="00B93F21"/>
    <w:rsid w:val="00BA1D5F"/>
    <w:rsid w:val="00BA2CBD"/>
    <w:rsid w:val="00BA300E"/>
    <w:rsid w:val="00BA39E3"/>
    <w:rsid w:val="00BA4EF8"/>
    <w:rsid w:val="00BA5823"/>
    <w:rsid w:val="00BB5C4F"/>
    <w:rsid w:val="00BB792B"/>
    <w:rsid w:val="00BC04BA"/>
    <w:rsid w:val="00BC33D2"/>
    <w:rsid w:val="00BD387D"/>
    <w:rsid w:val="00BD7AFB"/>
    <w:rsid w:val="00BE0FFA"/>
    <w:rsid w:val="00BE4AE5"/>
    <w:rsid w:val="00BE6643"/>
    <w:rsid w:val="00BE7DA8"/>
    <w:rsid w:val="00BF2B31"/>
    <w:rsid w:val="00BF2E9A"/>
    <w:rsid w:val="00BF4EA3"/>
    <w:rsid w:val="00BF6397"/>
    <w:rsid w:val="00C01E2C"/>
    <w:rsid w:val="00C034BA"/>
    <w:rsid w:val="00C10C45"/>
    <w:rsid w:val="00C22775"/>
    <w:rsid w:val="00C25FF2"/>
    <w:rsid w:val="00C4420B"/>
    <w:rsid w:val="00C46A5C"/>
    <w:rsid w:val="00C46C94"/>
    <w:rsid w:val="00C5277B"/>
    <w:rsid w:val="00C5428D"/>
    <w:rsid w:val="00C65A44"/>
    <w:rsid w:val="00C71DDC"/>
    <w:rsid w:val="00C731A7"/>
    <w:rsid w:val="00C76269"/>
    <w:rsid w:val="00C820EE"/>
    <w:rsid w:val="00C929A3"/>
    <w:rsid w:val="00CA0D06"/>
    <w:rsid w:val="00CB18B7"/>
    <w:rsid w:val="00CC23D7"/>
    <w:rsid w:val="00CC5C76"/>
    <w:rsid w:val="00CD1380"/>
    <w:rsid w:val="00CD29F4"/>
    <w:rsid w:val="00CD7DA4"/>
    <w:rsid w:val="00CE2C80"/>
    <w:rsid w:val="00CE4DB1"/>
    <w:rsid w:val="00CF361E"/>
    <w:rsid w:val="00D02731"/>
    <w:rsid w:val="00D05148"/>
    <w:rsid w:val="00D14109"/>
    <w:rsid w:val="00D176B4"/>
    <w:rsid w:val="00D17A99"/>
    <w:rsid w:val="00D22BC9"/>
    <w:rsid w:val="00D238A1"/>
    <w:rsid w:val="00D2729D"/>
    <w:rsid w:val="00D3405F"/>
    <w:rsid w:val="00D41CE0"/>
    <w:rsid w:val="00D554AE"/>
    <w:rsid w:val="00D713BB"/>
    <w:rsid w:val="00D73574"/>
    <w:rsid w:val="00D76383"/>
    <w:rsid w:val="00D76C35"/>
    <w:rsid w:val="00D828E4"/>
    <w:rsid w:val="00D82FD2"/>
    <w:rsid w:val="00D8404C"/>
    <w:rsid w:val="00D86C86"/>
    <w:rsid w:val="00D8789A"/>
    <w:rsid w:val="00DA1568"/>
    <w:rsid w:val="00DA462C"/>
    <w:rsid w:val="00DA4824"/>
    <w:rsid w:val="00DA5914"/>
    <w:rsid w:val="00DB2772"/>
    <w:rsid w:val="00DB66F5"/>
    <w:rsid w:val="00DC08DB"/>
    <w:rsid w:val="00DC4F5D"/>
    <w:rsid w:val="00DC556E"/>
    <w:rsid w:val="00DC5A67"/>
    <w:rsid w:val="00DD11D4"/>
    <w:rsid w:val="00DD2432"/>
    <w:rsid w:val="00DD3A72"/>
    <w:rsid w:val="00DD7B59"/>
    <w:rsid w:val="00DE6B24"/>
    <w:rsid w:val="00DF089D"/>
    <w:rsid w:val="00DF119B"/>
    <w:rsid w:val="00E01C78"/>
    <w:rsid w:val="00E032F8"/>
    <w:rsid w:val="00E04EBE"/>
    <w:rsid w:val="00E10BCB"/>
    <w:rsid w:val="00E1408A"/>
    <w:rsid w:val="00E176E0"/>
    <w:rsid w:val="00E254FC"/>
    <w:rsid w:val="00E30185"/>
    <w:rsid w:val="00E472BF"/>
    <w:rsid w:val="00E4775E"/>
    <w:rsid w:val="00E54DAB"/>
    <w:rsid w:val="00E55C98"/>
    <w:rsid w:val="00E60DE7"/>
    <w:rsid w:val="00E7456B"/>
    <w:rsid w:val="00E757D1"/>
    <w:rsid w:val="00E80D63"/>
    <w:rsid w:val="00E81E6E"/>
    <w:rsid w:val="00E873E3"/>
    <w:rsid w:val="00E94C08"/>
    <w:rsid w:val="00EA1976"/>
    <w:rsid w:val="00EB5DEF"/>
    <w:rsid w:val="00EB62B4"/>
    <w:rsid w:val="00EC2294"/>
    <w:rsid w:val="00EC413A"/>
    <w:rsid w:val="00EC47F3"/>
    <w:rsid w:val="00EE6BE6"/>
    <w:rsid w:val="00EE6D3B"/>
    <w:rsid w:val="00EF0D50"/>
    <w:rsid w:val="00F065F1"/>
    <w:rsid w:val="00F07047"/>
    <w:rsid w:val="00F070BB"/>
    <w:rsid w:val="00F07937"/>
    <w:rsid w:val="00F101EF"/>
    <w:rsid w:val="00F1084A"/>
    <w:rsid w:val="00F13F05"/>
    <w:rsid w:val="00F16396"/>
    <w:rsid w:val="00F2015C"/>
    <w:rsid w:val="00F22984"/>
    <w:rsid w:val="00F23FB5"/>
    <w:rsid w:val="00F2694C"/>
    <w:rsid w:val="00F27C59"/>
    <w:rsid w:val="00F3013F"/>
    <w:rsid w:val="00F36030"/>
    <w:rsid w:val="00F40ECA"/>
    <w:rsid w:val="00F476E3"/>
    <w:rsid w:val="00F47B5E"/>
    <w:rsid w:val="00F50908"/>
    <w:rsid w:val="00F511EB"/>
    <w:rsid w:val="00F51860"/>
    <w:rsid w:val="00F52696"/>
    <w:rsid w:val="00F61D03"/>
    <w:rsid w:val="00F65FAF"/>
    <w:rsid w:val="00F66D62"/>
    <w:rsid w:val="00F71F05"/>
    <w:rsid w:val="00F75BC3"/>
    <w:rsid w:val="00F83525"/>
    <w:rsid w:val="00F8395D"/>
    <w:rsid w:val="00F86C8C"/>
    <w:rsid w:val="00F91D52"/>
    <w:rsid w:val="00F931EE"/>
    <w:rsid w:val="00FA07C0"/>
    <w:rsid w:val="00FA26F9"/>
    <w:rsid w:val="00FB756D"/>
    <w:rsid w:val="00FC3338"/>
    <w:rsid w:val="00FC6DC6"/>
    <w:rsid w:val="00FD0326"/>
    <w:rsid w:val="00FD11B6"/>
    <w:rsid w:val="00FD15B7"/>
    <w:rsid w:val="00FD246E"/>
    <w:rsid w:val="00FD4B9E"/>
    <w:rsid w:val="00FD4E2C"/>
    <w:rsid w:val="00FE033F"/>
    <w:rsid w:val="00FE13C3"/>
    <w:rsid w:val="00FE2337"/>
    <w:rsid w:val="00FE2A63"/>
    <w:rsid w:val="00FE5BDC"/>
    <w:rsid w:val="00FE6C86"/>
    <w:rsid w:val="00FF00E8"/>
    <w:rsid w:val="00FF4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BC7E8"/>
  <w15:docId w15:val="{C699D1B5-2AAF-480E-B347-C4E1F288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56A53"/>
    <w:pPr>
      <w:spacing w:after="200" w:line="276" w:lineRule="auto"/>
    </w:pPr>
    <w:rPr>
      <w:sz w:val="22"/>
      <w:szCs w:val="22"/>
      <w:lang w:val="en-US"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link w:val="BrezrazmikovZnak"/>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zrazmikovZnak">
    <w:name w:val="Brez razmikov Znak"/>
    <w:link w:val="Brezrazmikov"/>
    <w:uiPriority w:val="1"/>
    <w:rsid w:val="00256A53"/>
    <w:rPr>
      <w:sz w:val="22"/>
      <w:szCs w:val="22"/>
      <w:lang w:eastAsia="en-US"/>
    </w:rPr>
  </w:style>
  <w:style w:type="character" w:customStyle="1" w:styleId="hps">
    <w:name w:val="hps"/>
    <w:basedOn w:val="Privzetapisavaodstavka"/>
    <w:rsid w:val="00F36030"/>
  </w:style>
  <w:style w:type="character" w:styleId="Pripombasklic">
    <w:name w:val="annotation reference"/>
    <w:basedOn w:val="Privzetapisavaodstavka"/>
    <w:uiPriority w:val="99"/>
    <w:semiHidden/>
    <w:unhideWhenUsed/>
    <w:rsid w:val="00B666A5"/>
    <w:rPr>
      <w:sz w:val="16"/>
      <w:szCs w:val="16"/>
    </w:rPr>
  </w:style>
  <w:style w:type="paragraph" w:styleId="Pripombabesedilo">
    <w:name w:val="annotation text"/>
    <w:basedOn w:val="Navaden"/>
    <w:link w:val="PripombabesediloZnak"/>
    <w:uiPriority w:val="99"/>
    <w:unhideWhenUsed/>
    <w:rsid w:val="00B666A5"/>
    <w:pPr>
      <w:spacing w:line="240" w:lineRule="auto"/>
    </w:pPr>
    <w:rPr>
      <w:sz w:val="20"/>
      <w:szCs w:val="20"/>
    </w:rPr>
  </w:style>
  <w:style w:type="character" w:customStyle="1" w:styleId="PripombabesediloZnak">
    <w:name w:val="Pripomba – besedilo Znak"/>
    <w:basedOn w:val="Privzetapisavaodstavka"/>
    <w:link w:val="Pripombabesedilo"/>
    <w:uiPriority w:val="99"/>
    <w:rsid w:val="00B666A5"/>
    <w:rPr>
      <w:lang w:val="en-US" w:eastAsia="en-US"/>
    </w:rPr>
  </w:style>
  <w:style w:type="paragraph" w:styleId="Zadevapripombe">
    <w:name w:val="annotation subject"/>
    <w:basedOn w:val="Pripombabesedilo"/>
    <w:next w:val="Pripombabesedilo"/>
    <w:link w:val="ZadevapripombeZnak"/>
    <w:uiPriority w:val="99"/>
    <w:semiHidden/>
    <w:unhideWhenUsed/>
    <w:rsid w:val="00B666A5"/>
    <w:rPr>
      <w:b/>
      <w:bCs/>
    </w:rPr>
  </w:style>
  <w:style w:type="character" w:customStyle="1" w:styleId="ZadevapripombeZnak">
    <w:name w:val="Zadeva pripombe Znak"/>
    <w:basedOn w:val="PripombabesediloZnak"/>
    <w:link w:val="Zadevapripombe"/>
    <w:uiPriority w:val="99"/>
    <w:semiHidden/>
    <w:rsid w:val="00B666A5"/>
    <w:rPr>
      <w:b/>
      <w:bCs/>
      <w:lang w:val="en-US" w:eastAsia="en-US"/>
    </w:rPr>
  </w:style>
  <w:style w:type="character" w:customStyle="1" w:styleId="Nerazreenaomemba1">
    <w:name w:val="Nerazrešena omemba1"/>
    <w:basedOn w:val="Privzetapisavaodstavka"/>
    <w:uiPriority w:val="99"/>
    <w:semiHidden/>
    <w:unhideWhenUsed/>
    <w:rsid w:val="00314793"/>
    <w:rPr>
      <w:color w:val="605E5C"/>
      <w:shd w:val="clear" w:color="auto" w:fill="E1DFDD"/>
    </w:rPr>
  </w:style>
  <w:style w:type="paragraph" w:styleId="Revizija">
    <w:name w:val="Revision"/>
    <w:hidden/>
    <w:uiPriority w:val="99"/>
    <w:semiHidden/>
    <w:rsid w:val="0043432D"/>
    <w:rPr>
      <w:sz w:val="22"/>
      <w:szCs w:val="22"/>
      <w:lang w:val="en-US" w:eastAsia="en-US"/>
    </w:rPr>
  </w:style>
  <w:style w:type="character" w:styleId="Nerazreenaomemba">
    <w:name w:val="Unresolved Mention"/>
    <w:basedOn w:val="Privzetapisavaodstavka"/>
    <w:uiPriority w:val="99"/>
    <w:semiHidden/>
    <w:unhideWhenUsed/>
    <w:rsid w:val="00B33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971">
      <w:bodyDiv w:val="1"/>
      <w:marLeft w:val="0"/>
      <w:marRight w:val="0"/>
      <w:marTop w:val="0"/>
      <w:marBottom w:val="0"/>
      <w:divBdr>
        <w:top w:val="none" w:sz="0" w:space="0" w:color="auto"/>
        <w:left w:val="none" w:sz="0" w:space="0" w:color="auto"/>
        <w:bottom w:val="none" w:sz="0" w:space="0" w:color="auto"/>
        <w:right w:val="none" w:sz="0" w:space="0" w:color="auto"/>
      </w:divBdr>
    </w:div>
    <w:div w:id="358552425">
      <w:bodyDiv w:val="1"/>
      <w:marLeft w:val="0"/>
      <w:marRight w:val="0"/>
      <w:marTop w:val="0"/>
      <w:marBottom w:val="0"/>
      <w:divBdr>
        <w:top w:val="none" w:sz="0" w:space="0" w:color="auto"/>
        <w:left w:val="none" w:sz="0" w:space="0" w:color="auto"/>
        <w:bottom w:val="none" w:sz="0" w:space="0" w:color="auto"/>
        <w:right w:val="none" w:sz="0" w:space="0" w:color="auto"/>
      </w:divBdr>
    </w:div>
    <w:div w:id="616179913">
      <w:bodyDiv w:val="1"/>
      <w:marLeft w:val="0"/>
      <w:marRight w:val="0"/>
      <w:marTop w:val="0"/>
      <w:marBottom w:val="0"/>
      <w:divBdr>
        <w:top w:val="none" w:sz="0" w:space="0" w:color="auto"/>
        <w:left w:val="none" w:sz="0" w:space="0" w:color="auto"/>
        <w:bottom w:val="none" w:sz="0" w:space="0" w:color="auto"/>
        <w:right w:val="none" w:sz="0" w:space="0" w:color="auto"/>
      </w:divBdr>
    </w:div>
    <w:div w:id="681932938">
      <w:bodyDiv w:val="1"/>
      <w:marLeft w:val="0"/>
      <w:marRight w:val="0"/>
      <w:marTop w:val="0"/>
      <w:marBottom w:val="0"/>
      <w:divBdr>
        <w:top w:val="none" w:sz="0" w:space="0" w:color="auto"/>
        <w:left w:val="none" w:sz="0" w:space="0" w:color="auto"/>
        <w:bottom w:val="none" w:sz="0" w:space="0" w:color="auto"/>
        <w:right w:val="none" w:sz="0" w:space="0" w:color="auto"/>
      </w:divBdr>
    </w:div>
    <w:div w:id="1169827926">
      <w:bodyDiv w:val="1"/>
      <w:marLeft w:val="0"/>
      <w:marRight w:val="0"/>
      <w:marTop w:val="0"/>
      <w:marBottom w:val="0"/>
      <w:divBdr>
        <w:top w:val="none" w:sz="0" w:space="0" w:color="auto"/>
        <w:left w:val="none" w:sz="0" w:space="0" w:color="auto"/>
        <w:bottom w:val="none" w:sz="0" w:space="0" w:color="auto"/>
        <w:right w:val="none" w:sz="0" w:space="0" w:color="auto"/>
      </w:divBdr>
    </w:div>
    <w:div w:id="1655136688">
      <w:bodyDiv w:val="1"/>
      <w:marLeft w:val="0"/>
      <w:marRight w:val="0"/>
      <w:marTop w:val="0"/>
      <w:marBottom w:val="0"/>
      <w:divBdr>
        <w:top w:val="none" w:sz="0" w:space="0" w:color="auto"/>
        <w:left w:val="none" w:sz="0" w:space="0" w:color="auto"/>
        <w:bottom w:val="none" w:sz="0" w:space="0" w:color="auto"/>
        <w:right w:val="none" w:sz="0" w:space="0" w:color="auto"/>
      </w:divBdr>
    </w:div>
    <w:div w:id="1877162525">
      <w:bodyDiv w:val="1"/>
      <w:marLeft w:val="0"/>
      <w:marRight w:val="0"/>
      <w:marTop w:val="0"/>
      <w:marBottom w:val="0"/>
      <w:divBdr>
        <w:top w:val="none" w:sz="0" w:space="0" w:color="auto"/>
        <w:left w:val="none" w:sz="0" w:space="0" w:color="auto"/>
        <w:bottom w:val="none" w:sz="0" w:space="0" w:color="auto"/>
        <w:right w:val="none" w:sz="0" w:space="0" w:color="auto"/>
      </w:divBdr>
    </w:div>
    <w:div w:id="191577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emconsortium.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pmmp.um.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barb\AppData\Local\Temp\Dopis-SI-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C317BE9D5454499E5BD8CCD9AEEB2" ma:contentTypeVersion="14" ma:contentTypeDescription="Ustvari nov dokument." ma:contentTypeScope="" ma:versionID="d16d219497b73d2a499ff49dc6439897">
  <xsd:schema xmlns:xsd="http://www.w3.org/2001/XMLSchema" xmlns:xs="http://www.w3.org/2001/XMLSchema" xmlns:p="http://schemas.microsoft.com/office/2006/metadata/properties" xmlns:ns3="136adb97-43cd-44a9-8c28-c7b4eaa7d6fe" xmlns:ns4="f6439be0-2e48-4e96-82e8-dd3497cbc32f" targetNamespace="http://schemas.microsoft.com/office/2006/metadata/properties" ma:root="true" ma:fieldsID="85797d85efb35d512aab0e4ea9273d92" ns3:_="" ns4:_="">
    <xsd:import namespace="136adb97-43cd-44a9-8c28-c7b4eaa7d6fe"/>
    <xsd:import namespace="f6439be0-2e48-4e96-82e8-dd3497cbc3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adb97-43cd-44a9-8c28-c7b4eaa7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439be0-2e48-4e96-82e8-dd3497cbc32f"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SharingHintHash" ma:index="20"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6999B-D136-4369-9368-1A128029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adb97-43cd-44a9-8c28-c7b4eaa7d6fe"/>
    <ds:schemaRef ds:uri="f6439be0-2e48-4e96-82e8-dd3497cbc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2B241-EF56-4F23-8F1C-37BA60BB2294}">
  <ds:schemaRefs>
    <ds:schemaRef ds:uri="http://schemas.microsoft.com/sharepoint/v3/contenttype/forms"/>
  </ds:schemaRefs>
</ds:datastoreItem>
</file>

<file path=customXml/itemProps3.xml><?xml version="1.0" encoding="utf-8"?>
<ds:datastoreItem xmlns:ds="http://schemas.openxmlformats.org/officeDocument/2006/customXml" ds:itemID="{10156EF7-629D-42E8-9C02-DF6E76810A4E}">
  <ds:schemaRefs>
    <ds:schemaRef ds:uri="http://schemas.openxmlformats.org/officeDocument/2006/bibliography"/>
  </ds:schemaRefs>
</ds:datastoreItem>
</file>

<file path=customXml/itemProps4.xml><?xml version="1.0" encoding="utf-8"?>
<ds:datastoreItem xmlns:ds="http://schemas.openxmlformats.org/officeDocument/2006/customXml" ds:itemID="{BD1EF460-67DC-4CED-8886-66B1F7B3D2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Dopis-SI-1</Template>
  <TotalTime>6</TotalTime>
  <Pages>5</Pages>
  <Words>1534</Words>
  <Characters>8750</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Monografija GEM 2013_obvestilo za javnost</vt:lpstr>
      <vt:lpstr>Monografija GEM 2013_obvestilo za javnost</vt:lpstr>
    </vt:vector>
  </TitlesOfParts>
  <Company>EPF</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Monografija GEM 2013_obvestilo za javnost</dc:title>
  <dc:subject>GEM</dc:subject>
  <dc:creator>user</dc:creator>
  <cp:lastModifiedBy>Karin Širec</cp:lastModifiedBy>
  <cp:revision>2</cp:revision>
  <cp:lastPrinted>2024-05-08T08:30:00Z</cp:lastPrinted>
  <dcterms:created xsi:type="dcterms:W3CDTF">2026-05-05T13:43:00Z</dcterms:created>
  <dcterms:modified xsi:type="dcterms:W3CDTF">2026-05-05T13:43:00Z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2f12c1de-ce1a-43f3-9329-f4a6ebde4244</vt:lpwstr>
  </property>
  <property fmtid="{D5CDD505-2E9C-101B-9397-08002B2CF9AE}" pid="3" name="ContentTypeId">
    <vt:lpwstr>0x010100288C317BE9D5454499E5BD8CCD9AEEB2</vt:lpwstr>
  </property>
  <property fmtid="{D5CDD505-2E9C-101B-9397-08002B2CF9AE}" pid="4" name="_dlc_DocId">
    <vt:lpwstr>K67AKCNZ6W6Y-253-36</vt:lpwstr>
  </property>
  <property fmtid="{D5CDD505-2E9C-101B-9397-08002B2CF9AE}" pid="5" name="_dlc_DocIdUrl">
    <vt:lpwstr>http://www.um.si/CGP/EPF/_layouts/DocIdRedir.aspx?ID=K67AKCNZ6W6Y-253-36K67AKCNZ6W6Y-253-36</vt:lpwstr>
  </property>
</Properties>
</file>